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E6BD" w14:textId="0B589949" w:rsidR="00770902" w:rsidRPr="00560514" w:rsidRDefault="00770902" w:rsidP="00770902">
      <w:pPr>
        <w:pStyle w:val="Subtitle"/>
        <w:rPr>
          <w:rFonts w:ascii="Calibri" w:hAnsi="Calibri"/>
          <w:b/>
          <w:color w:val="auto"/>
        </w:rPr>
      </w:pPr>
      <w:r w:rsidRPr="00560514">
        <w:rPr>
          <w:rFonts w:ascii="Calibri" w:hAnsi="Calibri"/>
          <w:b/>
          <w:color w:val="auto"/>
        </w:rPr>
        <w:t xml:space="preserve">Terms and Conditions of </w:t>
      </w:r>
      <w:r w:rsidR="00823338">
        <w:rPr>
          <w:rFonts w:ascii="Calibri" w:hAnsi="Calibri"/>
          <w:b/>
          <w:color w:val="auto"/>
        </w:rPr>
        <w:t>the Future Leaders Programme</w:t>
      </w:r>
    </w:p>
    <w:p w14:paraId="2F49B328" w14:textId="03F49581" w:rsidR="00770902" w:rsidRPr="00560514" w:rsidRDefault="00823338" w:rsidP="00770902">
      <w:r>
        <w:t>The following</w:t>
      </w:r>
      <w:r w:rsidR="00770902" w:rsidRPr="00560514">
        <w:t xml:space="preserve"> te</w:t>
      </w:r>
      <w:r>
        <w:t xml:space="preserve">rms and conditions apply to the </w:t>
      </w:r>
      <w:r w:rsidR="006B79D9" w:rsidRPr="005678B2">
        <w:t>202</w:t>
      </w:r>
      <w:r w:rsidR="005678B2" w:rsidRPr="005678B2">
        <w:t>6</w:t>
      </w:r>
      <w:r w:rsidR="00BB7F22" w:rsidRPr="005678B2">
        <w:t>-2</w:t>
      </w:r>
      <w:r w:rsidR="005678B2" w:rsidRPr="005678B2">
        <w:t>7</w:t>
      </w:r>
      <w:r w:rsidR="00BB7F22" w:rsidRPr="005678B2">
        <w:t xml:space="preserve"> </w:t>
      </w:r>
      <w:r w:rsidRPr="005678B2">
        <w:t>F</w:t>
      </w:r>
      <w:r>
        <w:t>uture Leaders Programme</w:t>
      </w:r>
      <w:r w:rsidR="0061687F">
        <w:t xml:space="preserve"> (FLP)</w:t>
      </w:r>
    </w:p>
    <w:p w14:paraId="396ADED9" w14:textId="1042B403" w:rsidR="00770902" w:rsidRPr="00243AA1" w:rsidRDefault="00770902" w:rsidP="00770902">
      <w:pPr>
        <w:pStyle w:val="Subtitle"/>
        <w:rPr>
          <w:rFonts w:ascii="Calibri" w:hAnsi="Calibri"/>
          <w:b/>
          <w:color w:val="auto"/>
        </w:rPr>
      </w:pPr>
      <w:r w:rsidRPr="00243AA1">
        <w:rPr>
          <w:rFonts w:ascii="Calibri" w:hAnsi="Calibri"/>
          <w:b/>
          <w:color w:val="auto"/>
        </w:rPr>
        <w:t>Eligibility &amp; Applications</w:t>
      </w:r>
    </w:p>
    <w:p w14:paraId="6A009B59" w14:textId="04DD3831" w:rsidR="00823338" w:rsidRPr="00625429" w:rsidRDefault="00823338" w:rsidP="00E371D0">
      <w:pPr>
        <w:pStyle w:val="ListParagraph"/>
        <w:numPr>
          <w:ilvl w:val="0"/>
          <w:numId w:val="13"/>
        </w:numPr>
        <w:spacing w:after="0" w:line="240" w:lineRule="auto"/>
        <w:ind w:left="714" w:hanging="357"/>
      </w:pPr>
      <w:r w:rsidRPr="00625429">
        <w:t xml:space="preserve">When the programme </w:t>
      </w:r>
      <w:r w:rsidR="00A60A58">
        <w:t>commences</w:t>
      </w:r>
      <w:r w:rsidRPr="00625429">
        <w:t xml:space="preserve">, </w:t>
      </w:r>
      <w:r w:rsidR="006F0FF5" w:rsidRPr="00625429">
        <w:t xml:space="preserve">all </w:t>
      </w:r>
      <w:r w:rsidRPr="00625429">
        <w:t>participants must be</w:t>
      </w:r>
      <w:r w:rsidR="00243AA1" w:rsidRPr="00625429">
        <w:t xml:space="preserve"> either</w:t>
      </w:r>
      <w:r w:rsidRPr="00625429">
        <w:t xml:space="preserve">: </w:t>
      </w:r>
    </w:p>
    <w:p w14:paraId="3EA2C184" w14:textId="3582F390" w:rsidR="00625429" w:rsidRPr="00625429" w:rsidRDefault="00625429" w:rsidP="00625429">
      <w:pPr>
        <w:numPr>
          <w:ilvl w:val="1"/>
          <w:numId w:val="6"/>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25429">
        <w:rPr>
          <w:rFonts w:asciiTheme="minorHAnsi" w:eastAsia="Times New Roman" w:hAnsiTheme="minorHAnsi" w:cstheme="minorHAnsi"/>
          <w:color w:val="000000" w:themeColor="text1"/>
          <w:lang w:eastAsia="en-GB"/>
        </w:rPr>
        <w:t>a senior trainee (ST8 or above)</w:t>
      </w:r>
    </w:p>
    <w:p w14:paraId="41F87D74" w14:textId="49899841" w:rsidR="00823338" w:rsidRPr="00625429" w:rsidRDefault="00823338" w:rsidP="00625429">
      <w:pPr>
        <w:numPr>
          <w:ilvl w:val="1"/>
          <w:numId w:val="6"/>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25429">
        <w:rPr>
          <w:rFonts w:asciiTheme="minorHAnsi" w:eastAsia="Times New Roman" w:hAnsiTheme="minorHAnsi" w:cstheme="minorHAnsi"/>
          <w:color w:val="000000" w:themeColor="text1"/>
          <w:lang w:eastAsia="en-GB"/>
        </w:rPr>
        <w:t>a newly appointed consultant (less than 3 years)</w:t>
      </w:r>
    </w:p>
    <w:p w14:paraId="438300F4" w14:textId="4876077A" w:rsidR="00823338" w:rsidRDefault="00823338" w:rsidP="00823338">
      <w:pPr>
        <w:numPr>
          <w:ilvl w:val="1"/>
          <w:numId w:val="6"/>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25429">
        <w:rPr>
          <w:rFonts w:asciiTheme="minorHAnsi" w:eastAsia="Times New Roman" w:hAnsiTheme="minorHAnsi" w:cstheme="minorHAnsi"/>
          <w:color w:val="000000" w:themeColor="text1"/>
          <w:lang w:eastAsia="en-GB"/>
        </w:rPr>
        <w:t>an SAS surgeon (FRCS Tr &amp; Orth)</w:t>
      </w:r>
    </w:p>
    <w:p w14:paraId="3570BDA9" w14:textId="7A1575FF" w:rsidR="005F3158" w:rsidRPr="00625429" w:rsidRDefault="005F3158" w:rsidP="00823338">
      <w:pPr>
        <w:numPr>
          <w:ilvl w:val="1"/>
          <w:numId w:val="6"/>
        </w:numPr>
        <w:spacing w:before="100" w:beforeAutospacing="1" w:after="100" w:afterAutospacing="1"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a post-CCT surgeon</w:t>
      </w:r>
      <w:r w:rsidR="00CC7B00">
        <w:rPr>
          <w:rFonts w:asciiTheme="minorHAnsi" w:eastAsia="Times New Roman" w:hAnsiTheme="minorHAnsi" w:cstheme="minorHAnsi"/>
          <w:color w:val="000000" w:themeColor="text1"/>
          <w:lang w:eastAsia="en-GB"/>
        </w:rPr>
        <w:t>.</w:t>
      </w:r>
    </w:p>
    <w:p w14:paraId="39859793" w14:textId="04A08898" w:rsidR="00243AA1" w:rsidRPr="00625429" w:rsidRDefault="00705CA3" w:rsidP="00625429">
      <w:pPr>
        <w:pStyle w:val="ListParagraph"/>
        <w:numPr>
          <w:ilvl w:val="0"/>
          <w:numId w:val="13"/>
        </w:numPr>
        <w:jc w:val="both"/>
      </w:pPr>
      <w:r w:rsidRPr="00625429">
        <w:t>All</w:t>
      </w:r>
      <w:r w:rsidR="00243AA1" w:rsidRPr="00625429">
        <w:t xml:space="preserve"> participants must be current members of the BOA and up-to-date with their membership subscription fees</w:t>
      </w:r>
      <w:r w:rsidRPr="00625429">
        <w:t xml:space="preserve"> at the time of the programme commencing</w:t>
      </w:r>
      <w:r w:rsidR="00243AA1" w:rsidRPr="00625429">
        <w:t>.</w:t>
      </w:r>
      <w:r w:rsidR="006967AF">
        <w:tab/>
      </w:r>
      <w:r w:rsidR="006967AF">
        <w:br/>
      </w:r>
    </w:p>
    <w:p w14:paraId="610FE329" w14:textId="355C2321" w:rsidR="00243AA1" w:rsidRPr="00625429" w:rsidRDefault="00243AA1" w:rsidP="00625429">
      <w:pPr>
        <w:pStyle w:val="ListParagraph"/>
        <w:numPr>
          <w:ilvl w:val="0"/>
          <w:numId w:val="13"/>
        </w:numPr>
        <w:jc w:val="both"/>
      </w:pPr>
      <w:r w:rsidRPr="00625429">
        <w:t>I</w:t>
      </w:r>
      <w:r w:rsidR="00625429" w:rsidRPr="00625429">
        <w:t>f applicants are non-</w:t>
      </w:r>
      <w:r w:rsidRPr="00625429">
        <w:t xml:space="preserve">BOA members at the time of application, they are expected to </w:t>
      </w:r>
      <w:r w:rsidR="008E635A" w:rsidRPr="00625429">
        <w:t xml:space="preserve">apply </w:t>
      </w:r>
      <w:r w:rsidRPr="00625429">
        <w:t xml:space="preserve">to become a member and ensure there is sufficient time for this to be processed by no later than </w:t>
      </w:r>
      <w:r w:rsidR="00652421" w:rsidRPr="005678B2">
        <w:t>1</w:t>
      </w:r>
      <w:r w:rsidR="00652421" w:rsidRPr="005678B2">
        <w:rPr>
          <w:vertAlign w:val="superscript"/>
        </w:rPr>
        <w:t>st</w:t>
      </w:r>
      <w:r w:rsidR="00652421" w:rsidRPr="005678B2">
        <w:t xml:space="preserve"> </w:t>
      </w:r>
      <w:r w:rsidR="00BB170E" w:rsidRPr="005678B2">
        <w:t>September</w:t>
      </w:r>
      <w:r w:rsidR="00C85FA5" w:rsidRPr="005678B2">
        <w:t xml:space="preserve"> 202</w:t>
      </w:r>
      <w:r w:rsidR="005678B2" w:rsidRPr="005678B2">
        <w:t>6</w:t>
      </w:r>
      <w:r w:rsidR="00E72E29" w:rsidRPr="00625429">
        <w:t xml:space="preserve"> </w:t>
      </w:r>
      <w:r w:rsidRPr="00625429">
        <w:t xml:space="preserve">in order to be eligible to take part in the programme. Any non-orthopaedic participants can join </w:t>
      </w:r>
      <w:r w:rsidR="00CC7B00">
        <w:t xml:space="preserve">the </w:t>
      </w:r>
      <w:r w:rsidRPr="00625429">
        <w:t>BOA as an Affiliate member.</w:t>
      </w:r>
      <w:r w:rsidR="006967AF">
        <w:tab/>
      </w:r>
      <w:r w:rsidRPr="00625429">
        <w:t xml:space="preserve"> </w:t>
      </w:r>
      <w:r w:rsidR="006967AF">
        <w:br/>
      </w:r>
    </w:p>
    <w:p w14:paraId="251269AB" w14:textId="16FDB7E3" w:rsidR="00625429" w:rsidRPr="00625429" w:rsidRDefault="00243AA1" w:rsidP="00625429">
      <w:pPr>
        <w:pStyle w:val="ListParagraph"/>
        <w:numPr>
          <w:ilvl w:val="0"/>
          <w:numId w:val="13"/>
        </w:numPr>
        <w:jc w:val="both"/>
      </w:pPr>
      <w:r w:rsidRPr="00625429">
        <w:t>Applicants who have previously applied for a place on the Future Leaders Programme but been unsuccessful may apply again.</w:t>
      </w:r>
      <w:r w:rsidR="006967AF">
        <w:tab/>
      </w:r>
      <w:r w:rsidRPr="00625429">
        <w:t xml:space="preserve"> </w:t>
      </w:r>
      <w:r w:rsidR="006967AF">
        <w:br/>
      </w:r>
    </w:p>
    <w:p w14:paraId="7F15F097" w14:textId="2B226DDA" w:rsidR="00823338" w:rsidRPr="00625429" w:rsidRDefault="00380742" w:rsidP="00625429">
      <w:pPr>
        <w:pStyle w:val="ListParagraph"/>
        <w:numPr>
          <w:ilvl w:val="0"/>
          <w:numId w:val="13"/>
        </w:numPr>
        <w:jc w:val="both"/>
      </w:pPr>
      <w:r w:rsidRPr="00625429">
        <w:rPr>
          <w:rFonts w:asciiTheme="minorHAnsi" w:eastAsia="Times New Roman" w:hAnsiTheme="minorHAnsi" w:cstheme="minorHAnsi"/>
          <w:color w:val="000000" w:themeColor="text1"/>
          <w:lang w:eastAsia="en-GB"/>
        </w:rPr>
        <w:t xml:space="preserve">There are </w:t>
      </w:r>
      <w:r w:rsidR="00A50A15">
        <w:rPr>
          <w:rFonts w:asciiTheme="minorHAnsi" w:eastAsia="Times New Roman" w:hAnsiTheme="minorHAnsi" w:cstheme="minorHAnsi"/>
          <w:color w:val="000000" w:themeColor="text1"/>
          <w:lang w:eastAsia="en-GB"/>
        </w:rPr>
        <w:t>four</w:t>
      </w:r>
      <w:r w:rsidR="00A50A15" w:rsidRPr="00625429">
        <w:rPr>
          <w:rFonts w:asciiTheme="minorHAnsi" w:eastAsia="Times New Roman" w:hAnsiTheme="minorHAnsi" w:cstheme="minorHAnsi"/>
          <w:color w:val="000000" w:themeColor="text1"/>
          <w:lang w:eastAsia="en-GB"/>
        </w:rPr>
        <w:t xml:space="preserve"> </w:t>
      </w:r>
      <w:r w:rsidRPr="00625429">
        <w:rPr>
          <w:rFonts w:asciiTheme="minorHAnsi" w:eastAsia="Times New Roman" w:hAnsiTheme="minorHAnsi" w:cstheme="minorHAnsi"/>
          <w:color w:val="000000" w:themeColor="text1"/>
          <w:lang w:eastAsia="en-GB"/>
        </w:rPr>
        <w:t>ro</w:t>
      </w:r>
      <w:r w:rsidR="00823338" w:rsidRPr="00625429">
        <w:rPr>
          <w:rFonts w:asciiTheme="minorHAnsi" w:eastAsia="Times New Roman" w:hAnsiTheme="minorHAnsi" w:cstheme="minorHAnsi"/>
          <w:color w:val="000000" w:themeColor="text1"/>
          <w:lang w:eastAsia="en-GB"/>
        </w:rPr>
        <w:t>utes to en</w:t>
      </w:r>
      <w:r w:rsidR="00E371D0">
        <w:rPr>
          <w:rFonts w:asciiTheme="minorHAnsi" w:eastAsia="Times New Roman" w:hAnsiTheme="minorHAnsi" w:cstheme="minorHAnsi"/>
          <w:color w:val="000000" w:themeColor="text1"/>
          <w:lang w:eastAsia="en-GB"/>
        </w:rPr>
        <w:t>try to the FLP:</w:t>
      </w:r>
    </w:p>
    <w:p w14:paraId="52E5FA67" w14:textId="0ED248BE" w:rsidR="00823338" w:rsidRPr="00625429" w:rsidRDefault="00050496" w:rsidP="00625429">
      <w:pPr>
        <w:numPr>
          <w:ilvl w:val="1"/>
          <w:numId w:val="7"/>
        </w:numPr>
        <w:spacing w:before="100" w:beforeAutospacing="1" w:after="0"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Trust-sponsored </w:t>
      </w:r>
      <w:r w:rsidR="00823338" w:rsidRPr="00625429">
        <w:rPr>
          <w:rFonts w:asciiTheme="minorHAnsi" w:eastAsia="Times New Roman" w:hAnsiTheme="minorHAnsi" w:cstheme="minorHAnsi"/>
          <w:color w:val="000000" w:themeColor="text1"/>
          <w:lang w:eastAsia="en-GB"/>
        </w:rPr>
        <w:t xml:space="preserve">Fellows </w:t>
      </w:r>
    </w:p>
    <w:p w14:paraId="25C05B12" w14:textId="67F522BE" w:rsidR="00625429" w:rsidRDefault="0061687F" w:rsidP="00625429">
      <w:pPr>
        <w:numPr>
          <w:ilvl w:val="1"/>
          <w:numId w:val="7"/>
        </w:numPr>
        <w:spacing w:before="100" w:beforeAutospacing="1" w:after="0"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Specialist S</w:t>
      </w:r>
      <w:r w:rsidR="00823338" w:rsidRPr="00625429">
        <w:rPr>
          <w:rFonts w:asciiTheme="minorHAnsi" w:eastAsia="Times New Roman" w:hAnsiTheme="minorHAnsi" w:cstheme="minorHAnsi"/>
          <w:color w:val="000000" w:themeColor="text1"/>
          <w:lang w:eastAsia="en-GB"/>
        </w:rPr>
        <w:t>ociety</w:t>
      </w:r>
      <w:r w:rsidR="005D3863">
        <w:rPr>
          <w:rFonts w:asciiTheme="minorHAnsi" w:eastAsia="Times New Roman" w:hAnsiTheme="minorHAnsi" w:cstheme="minorHAnsi"/>
          <w:color w:val="000000" w:themeColor="text1"/>
          <w:lang w:eastAsia="en-GB"/>
        </w:rPr>
        <w:t>/Specialist Interest</w:t>
      </w:r>
      <w:r w:rsidR="00050496">
        <w:rPr>
          <w:rFonts w:asciiTheme="minorHAnsi" w:eastAsia="Times New Roman" w:hAnsiTheme="minorHAnsi" w:cstheme="minorHAnsi"/>
          <w:color w:val="000000" w:themeColor="text1"/>
          <w:lang w:eastAsia="en-GB"/>
        </w:rPr>
        <w:t>-</w:t>
      </w:r>
      <w:r w:rsidR="00823338" w:rsidRPr="00625429">
        <w:rPr>
          <w:rFonts w:asciiTheme="minorHAnsi" w:eastAsia="Times New Roman" w:hAnsiTheme="minorHAnsi" w:cstheme="minorHAnsi"/>
          <w:color w:val="000000" w:themeColor="text1"/>
          <w:lang w:eastAsia="en-GB"/>
        </w:rPr>
        <w:t xml:space="preserve">sponsored </w:t>
      </w:r>
      <w:r w:rsidR="00050496">
        <w:rPr>
          <w:rFonts w:asciiTheme="minorHAnsi" w:eastAsia="Times New Roman" w:hAnsiTheme="minorHAnsi" w:cstheme="minorHAnsi"/>
          <w:color w:val="000000" w:themeColor="text1"/>
          <w:lang w:eastAsia="en-GB"/>
        </w:rPr>
        <w:t>F</w:t>
      </w:r>
      <w:r w:rsidR="00823338" w:rsidRPr="00625429">
        <w:rPr>
          <w:rFonts w:asciiTheme="minorHAnsi" w:eastAsia="Times New Roman" w:hAnsiTheme="minorHAnsi" w:cstheme="minorHAnsi"/>
          <w:color w:val="000000" w:themeColor="text1"/>
          <w:lang w:eastAsia="en-GB"/>
        </w:rPr>
        <w:t>ellows</w:t>
      </w:r>
    </w:p>
    <w:p w14:paraId="57B3BC80" w14:textId="77777777" w:rsidR="00F9694B" w:rsidRDefault="005F3158" w:rsidP="00F9694B">
      <w:pPr>
        <w:numPr>
          <w:ilvl w:val="1"/>
          <w:numId w:val="7"/>
        </w:numPr>
        <w:spacing w:before="100" w:beforeAutospacing="1" w:after="0" w:line="240" w:lineRule="auto"/>
        <w:rPr>
          <w:rFonts w:asciiTheme="minorHAnsi" w:eastAsia="Times New Roman" w:hAnsiTheme="minorHAnsi" w:cstheme="minorHAnsi"/>
          <w:color w:val="000000" w:themeColor="text1"/>
          <w:lang w:eastAsia="en-GB"/>
        </w:rPr>
      </w:pPr>
      <w:r w:rsidRPr="006967AF">
        <w:rPr>
          <w:rFonts w:asciiTheme="minorHAnsi" w:eastAsia="Times New Roman" w:hAnsiTheme="minorHAnsi" w:cstheme="minorHAnsi"/>
          <w:color w:val="000000" w:themeColor="text1"/>
          <w:lang w:eastAsia="en-GB"/>
        </w:rPr>
        <w:t xml:space="preserve">BOA-sponsored </w:t>
      </w:r>
      <w:r w:rsidR="00C02313">
        <w:rPr>
          <w:rFonts w:asciiTheme="minorHAnsi" w:eastAsia="Times New Roman" w:hAnsiTheme="minorHAnsi" w:cstheme="minorHAnsi"/>
          <w:color w:val="000000" w:themeColor="text1"/>
          <w:lang w:eastAsia="en-GB"/>
        </w:rPr>
        <w:t>Fellow</w:t>
      </w:r>
      <w:r w:rsidR="00F9694B" w:rsidRPr="00F9694B">
        <w:rPr>
          <w:rFonts w:asciiTheme="minorHAnsi" w:eastAsia="Times New Roman" w:hAnsiTheme="minorHAnsi" w:cstheme="minorHAnsi"/>
          <w:color w:val="000000" w:themeColor="text1"/>
          <w:lang w:eastAsia="en-GB"/>
        </w:rPr>
        <w:t xml:space="preserve"> </w:t>
      </w:r>
    </w:p>
    <w:p w14:paraId="5875FC10" w14:textId="54A77F26" w:rsidR="005F3158" w:rsidRPr="00F9694B" w:rsidRDefault="00F9694B" w:rsidP="00F9694B">
      <w:pPr>
        <w:numPr>
          <w:ilvl w:val="1"/>
          <w:numId w:val="7"/>
        </w:numPr>
        <w:spacing w:before="100" w:beforeAutospacing="1" w:after="0" w:line="240" w:lineRule="auto"/>
        <w:rPr>
          <w:rFonts w:asciiTheme="minorHAnsi" w:eastAsia="Times New Roman" w:hAnsiTheme="minorHAnsi" w:cstheme="minorHAnsi"/>
          <w:color w:val="000000" w:themeColor="text1"/>
          <w:lang w:eastAsia="en-GB"/>
        </w:rPr>
      </w:pPr>
      <w:r w:rsidRPr="00625429">
        <w:rPr>
          <w:rFonts w:asciiTheme="minorHAnsi" w:eastAsia="Times New Roman" w:hAnsiTheme="minorHAnsi" w:cstheme="minorHAnsi"/>
          <w:color w:val="000000" w:themeColor="text1"/>
          <w:lang w:eastAsia="en-GB"/>
        </w:rPr>
        <w:t>Individual (self-funded)</w:t>
      </w:r>
      <w:r>
        <w:rPr>
          <w:rFonts w:asciiTheme="minorHAnsi" w:eastAsia="Times New Roman" w:hAnsiTheme="minorHAnsi" w:cstheme="minorHAnsi"/>
          <w:color w:val="000000" w:themeColor="text1"/>
          <w:lang w:eastAsia="en-GB"/>
        </w:rPr>
        <w:t xml:space="preserve"> Fellows</w:t>
      </w:r>
    </w:p>
    <w:p w14:paraId="2CB70188" w14:textId="24B00D6B" w:rsidR="00DF4D2C" w:rsidRPr="00F9694B" w:rsidRDefault="00EF799A" w:rsidP="00F9694B">
      <w:pPr>
        <w:pStyle w:val="ListParagraph"/>
        <w:numPr>
          <w:ilvl w:val="0"/>
          <w:numId w:val="13"/>
        </w:numPr>
        <w:spacing w:before="100" w:beforeAutospacing="1" w:after="0" w:line="240" w:lineRule="auto"/>
        <w:ind w:left="714" w:hanging="357"/>
        <w:jc w:val="both"/>
        <w:rPr>
          <w:rFonts w:asciiTheme="minorHAnsi" w:eastAsia="Times New Roman" w:hAnsiTheme="minorHAnsi" w:cstheme="minorHAnsi"/>
          <w:color w:val="000000" w:themeColor="text1"/>
          <w:lang w:eastAsia="en-GB"/>
        </w:rPr>
      </w:pPr>
      <w:r>
        <w:t xml:space="preserve">Applicants </w:t>
      </w:r>
      <w:r w:rsidR="00F9694B">
        <w:t>may</w:t>
      </w:r>
      <w:r>
        <w:t xml:space="preserve"> make</w:t>
      </w:r>
      <w:r w:rsidR="00DF4D2C">
        <w:t xml:space="preserve"> an application for a place via more than one route, provided they meet the relevant eligib</w:t>
      </w:r>
      <w:r w:rsidR="00E371D0">
        <w:t>ility criteria. For example,</w:t>
      </w:r>
      <w:r w:rsidR="00DF4D2C">
        <w:t xml:space="preserve"> a</w:t>
      </w:r>
      <w:r w:rsidR="00625429">
        <w:t>pplying for a</w:t>
      </w:r>
      <w:r w:rsidR="0061687F">
        <w:t xml:space="preserve"> self-funded place and for a Specialist S</w:t>
      </w:r>
      <w:r w:rsidR="00DF4D2C">
        <w:t>ociety</w:t>
      </w:r>
      <w:r w:rsidR="005D3863">
        <w:t>/Specialist Interest</w:t>
      </w:r>
      <w:r w:rsidR="00050496">
        <w:t>-</w:t>
      </w:r>
      <w:r w:rsidR="00DF4D2C">
        <w:t xml:space="preserve">sponsored place. Applicants are asked to state which routes they are applying under at the time of application. </w:t>
      </w:r>
    </w:p>
    <w:p w14:paraId="10FF94D2" w14:textId="77777777" w:rsidR="00F9694B" w:rsidRPr="00CF1226" w:rsidRDefault="00F9694B" w:rsidP="00F9694B">
      <w:pPr>
        <w:pStyle w:val="ListParagraph"/>
        <w:spacing w:before="100" w:beforeAutospacing="1" w:after="0" w:line="240" w:lineRule="auto"/>
        <w:ind w:left="714"/>
        <w:jc w:val="both"/>
        <w:rPr>
          <w:rFonts w:asciiTheme="minorHAnsi" w:eastAsia="Times New Roman" w:hAnsiTheme="minorHAnsi" w:cstheme="minorHAnsi"/>
          <w:color w:val="000000" w:themeColor="text1"/>
          <w:lang w:eastAsia="en-GB"/>
        </w:rPr>
      </w:pPr>
    </w:p>
    <w:p w14:paraId="1BA3ACC2" w14:textId="7B706237" w:rsidR="00DF4D2C" w:rsidRPr="00CF1226" w:rsidRDefault="00DF4D2C" w:rsidP="00CF1226">
      <w:pPr>
        <w:ind w:left="644"/>
        <w:rPr>
          <w:u w:val="single"/>
        </w:rPr>
      </w:pPr>
      <w:r w:rsidRPr="00CF1226">
        <w:rPr>
          <w:u w:val="single"/>
        </w:rPr>
        <w:t>Indi</w:t>
      </w:r>
      <w:r w:rsidR="00E371D0" w:rsidRPr="00CF1226">
        <w:rPr>
          <w:u w:val="single"/>
        </w:rPr>
        <w:t>vidual (self-funded)</w:t>
      </w:r>
      <w:r w:rsidR="0072313E">
        <w:rPr>
          <w:u w:val="single"/>
        </w:rPr>
        <w:t xml:space="preserve"> Fellows</w:t>
      </w:r>
    </w:p>
    <w:p w14:paraId="67D92008" w14:textId="1970E6A7" w:rsidR="00E371D0" w:rsidRPr="00167825" w:rsidRDefault="00DF4D2C" w:rsidP="00CF1226">
      <w:pPr>
        <w:pStyle w:val="ListParagraph"/>
        <w:numPr>
          <w:ilvl w:val="0"/>
          <w:numId w:val="13"/>
        </w:numPr>
        <w:jc w:val="both"/>
      </w:pPr>
      <w:r>
        <w:t>Appointments to the self-funded route for individuals are made by</w:t>
      </w:r>
      <w:r w:rsidR="00A363E0">
        <w:t xml:space="preserve"> the</w:t>
      </w:r>
      <w:r>
        <w:t xml:space="preserve"> BOA and applicants must follow the </w:t>
      </w:r>
      <w:r w:rsidR="00E371D0">
        <w:t xml:space="preserve">application instructions and </w:t>
      </w:r>
      <w:r>
        <w:t>deadlines listed on the BOA website</w:t>
      </w:r>
      <w:r w:rsidR="00CF1226">
        <w:t xml:space="preserve">. </w:t>
      </w:r>
      <w:r w:rsidR="00CF1226" w:rsidRPr="00167825">
        <w:t>Should individuals be required to interview, notice will be provided in advance of the interview date.</w:t>
      </w:r>
      <w:r w:rsidR="006967AF">
        <w:tab/>
      </w:r>
      <w:r w:rsidR="00CF1226" w:rsidRPr="00167825">
        <w:t xml:space="preserve"> </w:t>
      </w:r>
      <w:r w:rsidR="006967AF">
        <w:br/>
      </w:r>
    </w:p>
    <w:p w14:paraId="3707EFD6" w14:textId="1DB747E5" w:rsidR="00CF1226" w:rsidRDefault="00CF1226" w:rsidP="00CF1226">
      <w:pPr>
        <w:pStyle w:val="ListParagraph"/>
        <w:numPr>
          <w:ilvl w:val="0"/>
          <w:numId w:val="13"/>
        </w:numPr>
        <w:jc w:val="both"/>
      </w:pPr>
      <w:r>
        <w:t xml:space="preserve">All applicants will be informed by </w:t>
      </w:r>
      <w:r w:rsidR="00E865AE" w:rsidRPr="005678B2">
        <w:t>1</w:t>
      </w:r>
      <w:r w:rsidR="00E865AE" w:rsidRPr="005678B2">
        <w:rPr>
          <w:vertAlign w:val="superscript"/>
        </w:rPr>
        <w:t>st</w:t>
      </w:r>
      <w:r w:rsidR="006B79D9" w:rsidRPr="005678B2">
        <w:t xml:space="preserve"> </w:t>
      </w:r>
      <w:r w:rsidR="00BB170E" w:rsidRPr="005678B2">
        <w:t>August</w:t>
      </w:r>
      <w:r w:rsidR="006B79D9" w:rsidRPr="005678B2">
        <w:t xml:space="preserve"> 202</w:t>
      </w:r>
      <w:r w:rsidR="005678B2">
        <w:t>6</w:t>
      </w:r>
      <w:r>
        <w:t xml:space="preserve"> as to whether their application is successful. </w:t>
      </w:r>
      <w:r w:rsidR="006967AF">
        <w:br/>
      </w:r>
    </w:p>
    <w:p w14:paraId="63779622" w14:textId="3234F6C9" w:rsidR="00E371D0" w:rsidRDefault="00DF4D2C" w:rsidP="00CF1226">
      <w:pPr>
        <w:pStyle w:val="ListParagraph"/>
        <w:numPr>
          <w:ilvl w:val="0"/>
          <w:numId w:val="13"/>
        </w:numPr>
        <w:jc w:val="both"/>
      </w:pPr>
      <w:r>
        <w:t xml:space="preserve">Fees for the </w:t>
      </w:r>
      <w:r w:rsidR="006B79D9" w:rsidRPr="005678B2">
        <w:t>202</w:t>
      </w:r>
      <w:r w:rsidR="00E865AE" w:rsidRPr="005678B2">
        <w:t>5</w:t>
      </w:r>
      <w:r w:rsidR="00BB170E" w:rsidRPr="005678B2">
        <w:t>-</w:t>
      </w:r>
      <w:r w:rsidR="00BB7F22" w:rsidRPr="005678B2">
        <w:t>2</w:t>
      </w:r>
      <w:r w:rsidR="00E865AE" w:rsidRPr="005678B2">
        <w:t>6</w:t>
      </w:r>
      <w:r>
        <w:t xml:space="preserve"> Future Leaders Programm</w:t>
      </w:r>
      <w:r w:rsidRPr="006D776C">
        <w:t xml:space="preserve">e are </w:t>
      </w:r>
      <w:r w:rsidR="00E371D0" w:rsidRPr="005678B2">
        <w:t>£</w:t>
      </w:r>
      <w:r w:rsidR="006B79D9" w:rsidRPr="005678B2">
        <w:rPr>
          <w:rFonts w:cstheme="minorHAnsi"/>
        </w:rPr>
        <w:t>3</w:t>
      </w:r>
      <w:r w:rsidR="005678B2" w:rsidRPr="005678B2">
        <w:rPr>
          <w:rFonts w:cstheme="minorHAnsi"/>
        </w:rPr>
        <w:t>,450</w:t>
      </w:r>
      <w:r w:rsidR="006B79D9" w:rsidRPr="005678B2">
        <w:rPr>
          <w:rFonts w:cstheme="minorHAnsi"/>
        </w:rPr>
        <w:t xml:space="preserve"> </w:t>
      </w:r>
      <w:r w:rsidR="006B79D9" w:rsidRPr="005678B2">
        <w:t>(</w:t>
      </w:r>
      <w:r w:rsidR="005678B2" w:rsidRPr="005678B2">
        <w:t>plus</w:t>
      </w:r>
      <w:r w:rsidRPr="005678B2">
        <w:t xml:space="preserve"> VAT)</w:t>
      </w:r>
      <w:r w:rsidR="00E371D0" w:rsidRPr="006D776C">
        <w:t xml:space="preserve"> and self</w:t>
      </w:r>
      <w:r w:rsidR="00E371D0">
        <w:t>-funded individuals are required to cover the full cost of the course</w:t>
      </w:r>
      <w:r w:rsidR="00223545">
        <w:t xml:space="preserve"> upfront</w:t>
      </w:r>
      <w:r w:rsidR="00E371D0">
        <w:t xml:space="preserve">. The course fee does not include travel or accommodation. </w:t>
      </w:r>
      <w:r w:rsidR="006967AF">
        <w:br/>
      </w:r>
    </w:p>
    <w:p w14:paraId="22F6B410" w14:textId="495713DD" w:rsidR="00B054D7" w:rsidRDefault="00E371D0" w:rsidP="00CF1226">
      <w:pPr>
        <w:pStyle w:val="ListParagraph"/>
        <w:numPr>
          <w:ilvl w:val="0"/>
          <w:numId w:val="13"/>
        </w:numPr>
        <w:jc w:val="both"/>
      </w:pPr>
      <w:r>
        <w:lastRenderedPageBreak/>
        <w:t xml:space="preserve">An invoice will be sent to successful applicants </w:t>
      </w:r>
      <w:r w:rsidR="00F9694B">
        <w:t xml:space="preserve">or their nominated invoicing contact where applicable </w:t>
      </w:r>
      <w:r>
        <w:t xml:space="preserve">following confirmation of </w:t>
      </w:r>
      <w:r w:rsidR="00CF1226">
        <w:t xml:space="preserve">their place on the programme and payment must be made </w:t>
      </w:r>
      <w:r w:rsidR="00C571D3">
        <w:t>within six weeks of the invoice being issued.</w:t>
      </w:r>
      <w:r w:rsidR="00B054D7">
        <w:t xml:space="preserve"> Course materials will only be provided after payment is received.</w:t>
      </w:r>
      <w:r w:rsidR="006967AF">
        <w:tab/>
      </w:r>
      <w:r w:rsidR="00B054D7">
        <w:t xml:space="preserve"> </w:t>
      </w:r>
      <w:r w:rsidR="006967AF">
        <w:br/>
      </w:r>
    </w:p>
    <w:p w14:paraId="4C04DA56" w14:textId="1921B0A8" w:rsidR="00DF4D2C" w:rsidRDefault="00E371D0" w:rsidP="00CF1226">
      <w:pPr>
        <w:pStyle w:val="ListParagraph"/>
        <w:numPr>
          <w:ilvl w:val="0"/>
          <w:numId w:val="13"/>
        </w:numPr>
        <w:jc w:val="both"/>
      </w:pPr>
      <w:r>
        <w:t>Failure to</w:t>
      </w:r>
      <w:r w:rsidR="00FE0323">
        <w:t xml:space="preserve"> pay </w:t>
      </w:r>
      <w:r w:rsidR="00223545">
        <w:t xml:space="preserve">the </w:t>
      </w:r>
      <w:r w:rsidR="00FE0323">
        <w:t>fee</w:t>
      </w:r>
      <w:r w:rsidR="00223545">
        <w:t xml:space="preserve"> in accordance with this timescale</w:t>
      </w:r>
      <w:r w:rsidR="00FE0323">
        <w:t xml:space="preserve"> may result in your</w:t>
      </w:r>
      <w:r w:rsidR="00223545">
        <w:t xml:space="preserve"> place on the </w:t>
      </w:r>
      <w:r w:rsidR="00FE0323">
        <w:t xml:space="preserve">programme </w:t>
      </w:r>
      <w:r w:rsidR="00223545">
        <w:t>being withdrawn</w:t>
      </w:r>
      <w:r w:rsidR="00FE0323">
        <w:t xml:space="preserve">. </w:t>
      </w:r>
    </w:p>
    <w:p w14:paraId="4AC50D4C" w14:textId="77777777" w:rsidR="00FE0323" w:rsidRDefault="00FE0323" w:rsidP="00FE0323">
      <w:pPr>
        <w:pStyle w:val="ListParagraph"/>
        <w:ind w:left="644"/>
        <w:jc w:val="both"/>
      </w:pPr>
    </w:p>
    <w:p w14:paraId="763EEFD8" w14:textId="6BF121B5" w:rsidR="00705CA3" w:rsidRPr="00CF1226" w:rsidRDefault="00050496" w:rsidP="005A6065">
      <w:pPr>
        <w:spacing w:before="100" w:beforeAutospacing="1" w:after="0" w:line="240" w:lineRule="auto"/>
        <w:ind w:left="646"/>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u w:val="single"/>
          <w:lang w:eastAsia="en-GB"/>
        </w:rPr>
        <w:t>Trust-sponsored</w:t>
      </w:r>
      <w:r w:rsidR="0072313E">
        <w:rPr>
          <w:rFonts w:asciiTheme="minorHAnsi" w:eastAsia="Times New Roman" w:hAnsiTheme="minorHAnsi" w:cstheme="minorHAnsi"/>
          <w:color w:val="000000" w:themeColor="text1"/>
          <w:u w:val="single"/>
          <w:lang w:eastAsia="en-GB"/>
        </w:rPr>
        <w:t xml:space="preserve"> Fellows</w:t>
      </w:r>
      <w:r w:rsidR="00CF1226">
        <w:rPr>
          <w:rFonts w:asciiTheme="minorHAnsi" w:eastAsia="Times New Roman" w:hAnsiTheme="minorHAnsi" w:cstheme="minorHAnsi"/>
          <w:color w:val="000000" w:themeColor="text1"/>
          <w:lang w:eastAsia="en-GB"/>
        </w:rPr>
        <w:br/>
      </w:r>
      <w:r w:rsidR="00CF1226">
        <w:rPr>
          <w:rFonts w:asciiTheme="minorHAnsi" w:eastAsia="Times New Roman" w:hAnsiTheme="minorHAnsi" w:cstheme="minorHAnsi"/>
          <w:color w:val="000000" w:themeColor="text1"/>
          <w:lang w:eastAsia="en-GB"/>
        </w:rPr>
        <w:br/>
        <w:t>A</w:t>
      </w:r>
      <w:r w:rsidR="00705CA3" w:rsidRPr="00CF1226">
        <w:rPr>
          <w:rFonts w:asciiTheme="minorHAnsi" w:eastAsia="Times New Roman" w:hAnsiTheme="minorHAnsi" w:cstheme="minorHAnsi"/>
          <w:color w:val="000000" w:themeColor="text1"/>
          <w:lang w:eastAsia="en-GB"/>
        </w:rPr>
        <w:t xml:space="preserve">pplicants: </w:t>
      </w:r>
    </w:p>
    <w:p w14:paraId="3C590A25" w14:textId="5DA36ABD" w:rsidR="00705CA3" w:rsidRDefault="00A9552B" w:rsidP="00CF1226">
      <w:pPr>
        <w:pStyle w:val="ListParagraph"/>
        <w:numPr>
          <w:ilvl w:val="0"/>
          <w:numId w:val="13"/>
        </w:numPr>
        <w:jc w:val="both"/>
      </w:pPr>
      <w:r>
        <w:t>The sponsoring</w:t>
      </w:r>
      <w:r w:rsidR="00705CA3">
        <w:t xml:space="preserve"> Trust</w:t>
      </w:r>
      <w:r>
        <w:t xml:space="preserve"> is</w:t>
      </w:r>
      <w:r w:rsidR="00705CA3">
        <w:t xml:space="preserve"> responsible</w:t>
      </w:r>
      <w:r w:rsidR="00CF1226">
        <w:t xml:space="preserve"> </w:t>
      </w:r>
      <w:r>
        <w:t xml:space="preserve">for the selection process of the nominated applicant to be put forward to the BOA, </w:t>
      </w:r>
      <w:r w:rsidR="00CF1226">
        <w:t>and applicants should contact the Trust directly to apply</w:t>
      </w:r>
      <w:r w:rsidR="00705CA3">
        <w:t xml:space="preserve">. Applicants must still meet the </w:t>
      </w:r>
      <w:r w:rsidR="005A6065">
        <w:t xml:space="preserve">BOA eligibility criteria listed </w:t>
      </w:r>
      <w:r w:rsidR="00705CA3">
        <w:t>and the</w:t>
      </w:r>
      <w:r w:rsidR="005A6065">
        <w:t>re may be additiona</w:t>
      </w:r>
      <w:r w:rsidR="00A363E0">
        <w:t>l</w:t>
      </w:r>
      <w:r w:rsidR="00705CA3">
        <w:t xml:space="preserve"> criteria determined by the Trust, applicants should ensure they have checked this before applying. </w:t>
      </w:r>
      <w:r>
        <w:t>Trust nominated a</w:t>
      </w:r>
      <w:r w:rsidR="005F3158">
        <w:t xml:space="preserve">pplicants should complete the relevant sections on the BOA application form for Trusts (available on the BOA website), including core personal details, </w:t>
      </w:r>
      <w:r w:rsidR="00C85FA5">
        <w:t>Programme S</w:t>
      </w:r>
      <w:r w:rsidR="005F3158">
        <w:t>ponsor details, and research &amp; project details.</w:t>
      </w:r>
      <w:r w:rsidR="00050496">
        <w:t xml:space="preserve"> </w:t>
      </w:r>
    </w:p>
    <w:p w14:paraId="41AF9635" w14:textId="50D67390" w:rsidR="00705CA3" w:rsidRDefault="00CF1226" w:rsidP="005A6065">
      <w:pPr>
        <w:spacing w:after="0" w:line="240" w:lineRule="auto"/>
        <w:ind w:firstLine="646"/>
        <w:jc w:val="both"/>
      </w:pPr>
      <w:r>
        <w:t>Trusts:</w:t>
      </w:r>
    </w:p>
    <w:p w14:paraId="30FFECE9" w14:textId="2214E123" w:rsidR="00C571D3" w:rsidRDefault="00C571D3" w:rsidP="00CF1226">
      <w:pPr>
        <w:pStyle w:val="ListParagraph"/>
        <w:numPr>
          <w:ilvl w:val="0"/>
          <w:numId w:val="13"/>
        </w:numPr>
        <w:jc w:val="both"/>
      </w:pPr>
      <w:r>
        <w:t xml:space="preserve">For the </w:t>
      </w:r>
      <w:r w:rsidR="00652421" w:rsidRPr="005678B2">
        <w:t>202</w:t>
      </w:r>
      <w:r w:rsidR="005678B2" w:rsidRPr="005678B2">
        <w:t>6</w:t>
      </w:r>
      <w:r w:rsidR="00BB170E" w:rsidRPr="005678B2">
        <w:t>-</w:t>
      </w:r>
      <w:r w:rsidR="00BB7F22" w:rsidRPr="005678B2">
        <w:t>2</w:t>
      </w:r>
      <w:r w:rsidR="005678B2" w:rsidRPr="005678B2">
        <w:t>7</w:t>
      </w:r>
      <w:r>
        <w:t xml:space="preserve"> programme, </w:t>
      </w:r>
      <w:r w:rsidR="009A2982">
        <w:t>at least 10 places will be on offer for Trusts</w:t>
      </w:r>
      <w:r>
        <w:t xml:space="preserve">. These will be allocated to Trusts on a </w:t>
      </w:r>
      <w:r w:rsidR="009A2982">
        <w:t>competitive basis</w:t>
      </w:r>
      <w:r>
        <w:t xml:space="preserve"> </w:t>
      </w:r>
      <w:r w:rsidR="009A2982">
        <w:t xml:space="preserve">after a deciding panel review of all Trust applications. Places will be </w:t>
      </w:r>
      <w:r w:rsidR="009A2982" w:rsidRPr="006D776C">
        <w:t xml:space="preserve">awarded by </w:t>
      </w:r>
      <w:r w:rsidR="00E865AE" w:rsidRPr="005678B2">
        <w:t>1</w:t>
      </w:r>
      <w:r w:rsidR="00E865AE" w:rsidRPr="005678B2">
        <w:rPr>
          <w:vertAlign w:val="superscript"/>
        </w:rPr>
        <w:t>st</w:t>
      </w:r>
      <w:r w:rsidR="00BB170E" w:rsidRPr="005678B2">
        <w:t xml:space="preserve"> August 202</w:t>
      </w:r>
      <w:r w:rsidR="005678B2" w:rsidRPr="005678B2">
        <w:t>6</w:t>
      </w:r>
      <w:r w:rsidR="009A2982" w:rsidRPr="005678B2">
        <w:t>.</w:t>
      </w:r>
      <w:r w:rsidR="006967AF">
        <w:tab/>
      </w:r>
      <w:r w:rsidR="006967AF">
        <w:br/>
      </w:r>
    </w:p>
    <w:p w14:paraId="0EEA4907" w14:textId="241A35C5" w:rsidR="00705CA3" w:rsidRDefault="00C571D3" w:rsidP="00CF1226">
      <w:pPr>
        <w:pStyle w:val="ListParagraph"/>
        <w:numPr>
          <w:ilvl w:val="0"/>
          <w:numId w:val="13"/>
        </w:numPr>
        <w:jc w:val="both"/>
      </w:pPr>
      <w:r>
        <w:t xml:space="preserve">To </w:t>
      </w:r>
      <w:r w:rsidR="00A50A15">
        <w:t xml:space="preserve">apply for </w:t>
      </w:r>
      <w:r>
        <w:t>a place, the BOA application form for Trusts</w:t>
      </w:r>
      <w:r w:rsidR="00264748">
        <w:t xml:space="preserve"> (available on the BOA website)</w:t>
      </w:r>
      <w:r w:rsidR="00A50A15">
        <w:t xml:space="preserve"> need</w:t>
      </w:r>
      <w:r w:rsidR="00652421">
        <w:t>s</w:t>
      </w:r>
      <w:r w:rsidR="00A50A15">
        <w:t xml:space="preserve"> to be completed. </w:t>
      </w:r>
      <w:r>
        <w:t xml:space="preserve">All application forms should be submitted by no later than </w:t>
      </w:r>
      <w:r w:rsidR="006B79D9" w:rsidRPr="006B79D9">
        <w:t xml:space="preserve">the </w:t>
      </w:r>
      <w:r w:rsidR="005678B2" w:rsidRPr="005678B2">
        <w:t>29</w:t>
      </w:r>
      <w:r w:rsidR="005678B2" w:rsidRPr="005678B2">
        <w:rPr>
          <w:vertAlign w:val="superscript"/>
        </w:rPr>
        <w:t>th</w:t>
      </w:r>
      <w:r w:rsidR="00FB7AB6" w:rsidRPr="005678B2">
        <w:t xml:space="preserve"> </w:t>
      </w:r>
      <w:r w:rsidR="005678B2" w:rsidRPr="005678B2">
        <w:t>May</w:t>
      </w:r>
      <w:r w:rsidR="00FB7AB6" w:rsidRPr="005678B2">
        <w:t xml:space="preserve"> 202</w:t>
      </w:r>
      <w:r w:rsidR="005678B2" w:rsidRPr="005678B2">
        <w:t>6</w:t>
      </w:r>
      <w:r w:rsidR="009A2982" w:rsidRPr="005678B2">
        <w:t>.</w:t>
      </w:r>
      <w:r w:rsidR="006967AF">
        <w:tab/>
      </w:r>
      <w:r w:rsidR="00705CA3">
        <w:t xml:space="preserve"> </w:t>
      </w:r>
      <w:r w:rsidR="006967AF">
        <w:br/>
      </w:r>
    </w:p>
    <w:p w14:paraId="67F9FAB9" w14:textId="081922B8" w:rsidR="005E3CDC" w:rsidRDefault="005E3CDC" w:rsidP="00CF1226">
      <w:pPr>
        <w:pStyle w:val="ListParagraph"/>
        <w:numPr>
          <w:ilvl w:val="0"/>
          <w:numId w:val="13"/>
        </w:numPr>
        <w:jc w:val="both"/>
      </w:pPr>
      <w:r>
        <w:t xml:space="preserve">Fees for the </w:t>
      </w:r>
      <w:r w:rsidR="006B79D9" w:rsidRPr="005678B2">
        <w:t>202</w:t>
      </w:r>
      <w:r w:rsidR="005678B2" w:rsidRPr="005678B2">
        <w:t>6</w:t>
      </w:r>
      <w:r w:rsidR="00BB170E" w:rsidRPr="005678B2">
        <w:t>-</w:t>
      </w:r>
      <w:r w:rsidR="00BB7F22" w:rsidRPr="005678B2">
        <w:t>2</w:t>
      </w:r>
      <w:r w:rsidR="005678B2" w:rsidRPr="005678B2">
        <w:t>7</w:t>
      </w:r>
      <w:r>
        <w:t xml:space="preserve"> Future Leaders </w:t>
      </w:r>
      <w:r w:rsidRPr="006B79D9">
        <w:t xml:space="preserve">Programme are </w:t>
      </w:r>
      <w:r w:rsidR="006B79D9" w:rsidRPr="005678B2">
        <w:t>£</w:t>
      </w:r>
      <w:r w:rsidR="006B79D9" w:rsidRPr="005678B2">
        <w:rPr>
          <w:rFonts w:cstheme="minorHAnsi"/>
        </w:rPr>
        <w:t>3</w:t>
      </w:r>
      <w:r w:rsidR="00E865AE" w:rsidRPr="005678B2">
        <w:rPr>
          <w:rFonts w:cstheme="minorHAnsi"/>
        </w:rPr>
        <w:t>,</w:t>
      </w:r>
      <w:r w:rsidR="005678B2" w:rsidRPr="005678B2">
        <w:rPr>
          <w:rFonts w:cstheme="minorHAnsi"/>
        </w:rPr>
        <w:t>45</w:t>
      </w:r>
      <w:r w:rsidR="00E865AE" w:rsidRPr="005678B2">
        <w:rPr>
          <w:rFonts w:cstheme="minorHAnsi"/>
        </w:rPr>
        <w:t>0</w:t>
      </w:r>
      <w:r w:rsidR="006B79D9" w:rsidRPr="005678B2">
        <w:rPr>
          <w:rFonts w:cstheme="minorHAnsi"/>
        </w:rPr>
        <w:t xml:space="preserve"> </w:t>
      </w:r>
      <w:r w:rsidRPr="005678B2">
        <w:t>(including VAT)</w:t>
      </w:r>
      <w:r w:rsidR="00B71D47" w:rsidRPr="005678B2">
        <w:t>.</w:t>
      </w:r>
      <w:r w:rsidR="006967AF">
        <w:tab/>
      </w:r>
      <w:r w:rsidR="006967AF">
        <w:br/>
      </w:r>
    </w:p>
    <w:p w14:paraId="72431417" w14:textId="57607F9F" w:rsidR="00705CA3" w:rsidRDefault="00E72E29" w:rsidP="00CF1226">
      <w:pPr>
        <w:pStyle w:val="ListParagraph"/>
        <w:numPr>
          <w:ilvl w:val="0"/>
          <w:numId w:val="13"/>
        </w:numPr>
        <w:jc w:val="both"/>
      </w:pPr>
      <w:r>
        <w:t xml:space="preserve">Invoices will be issued upon </w:t>
      </w:r>
      <w:r w:rsidR="009A2982">
        <w:t>confirmation of the successful Trust fellow</w:t>
      </w:r>
      <w:r w:rsidR="00A50A15">
        <w:t xml:space="preserve"> </w:t>
      </w:r>
      <w:r>
        <w:t xml:space="preserve">and payment should be received within </w:t>
      </w:r>
      <w:r w:rsidR="00DD0A69">
        <w:t xml:space="preserve">six </w:t>
      </w:r>
      <w:r>
        <w:t xml:space="preserve">weeks. </w:t>
      </w:r>
      <w:r w:rsidR="00705CA3">
        <w:t xml:space="preserve">Should payment </w:t>
      </w:r>
      <w:r w:rsidR="00A363E0">
        <w:t xml:space="preserve">not be received within </w:t>
      </w:r>
      <w:r>
        <w:t>this</w:t>
      </w:r>
      <w:r w:rsidR="00A363E0">
        <w:t xml:space="preserve"> time period</w:t>
      </w:r>
      <w:r w:rsidR="00705CA3">
        <w:t xml:space="preserve">, the place may be </w:t>
      </w:r>
      <w:r w:rsidR="00223545">
        <w:t>withdrawn</w:t>
      </w:r>
      <w:r w:rsidR="00705CA3">
        <w:t xml:space="preserve">. </w:t>
      </w:r>
    </w:p>
    <w:p w14:paraId="4F8DD8D1" w14:textId="2FCA89E5" w:rsidR="00A363E0" w:rsidRPr="00A363E0" w:rsidRDefault="0061687F" w:rsidP="00A363E0">
      <w:pPr>
        <w:spacing w:before="100" w:beforeAutospacing="1" w:after="0" w:line="240" w:lineRule="auto"/>
        <w:ind w:left="720"/>
        <w:rPr>
          <w:rFonts w:asciiTheme="minorHAnsi" w:eastAsia="Times New Roman" w:hAnsiTheme="minorHAnsi" w:cstheme="minorHAnsi"/>
          <w:color w:val="000000" w:themeColor="text1"/>
          <w:u w:val="single"/>
          <w:lang w:eastAsia="en-GB"/>
        </w:rPr>
      </w:pPr>
      <w:r>
        <w:rPr>
          <w:rFonts w:asciiTheme="minorHAnsi" w:eastAsia="Times New Roman" w:hAnsiTheme="minorHAnsi" w:cstheme="minorHAnsi"/>
          <w:color w:val="000000" w:themeColor="text1"/>
          <w:u w:val="single"/>
          <w:lang w:eastAsia="en-GB"/>
        </w:rPr>
        <w:t>Specialist S</w:t>
      </w:r>
      <w:r w:rsidR="005E3CDC" w:rsidRPr="005A6065">
        <w:rPr>
          <w:rFonts w:asciiTheme="minorHAnsi" w:eastAsia="Times New Roman" w:hAnsiTheme="minorHAnsi" w:cstheme="minorHAnsi"/>
          <w:color w:val="000000" w:themeColor="text1"/>
          <w:u w:val="single"/>
          <w:lang w:eastAsia="en-GB"/>
        </w:rPr>
        <w:t>ociety</w:t>
      </w:r>
      <w:r w:rsidR="005D3863">
        <w:rPr>
          <w:rFonts w:asciiTheme="minorHAnsi" w:eastAsia="Times New Roman" w:hAnsiTheme="minorHAnsi" w:cstheme="minorHAnsi"/>
          <w:color w:val="000000" w:themeColor="text1"/>
          <w:u w:val="single"/>
          <w:lang w:eastAsia="en-GB"/>
        </w:rPr>
        <w:t>/Specialist Interest</w:t>
      </w:r>
      <w:r w:rsidR="00E23A28">
        <w:rPr>
          <w:rFonts w:asciiTheme="minorHAnsi" w:eastAsia="Times New Roman" w:hAnsiTheme="minorHAnsi" w:cstheme="minorHAnsi"/>
          <w:color w:val="000000" w:themeColor="text1"/>
          <w:u w:val="single"/>
          <w:lang w:eastAsia="en-GB"/>
        </w:rPr>
        <w:t>-</w:t>
      </w:r>
      <w:r w:rsidR="0072313E">
        <w:rPr>
          <w:rFonts w:asciiTheme="minorHAnsi" w:eastAsia="Times New Roman" w:hAnsiTheme="minorHAnsi" w:cstheme="minorHAnsi"/>
          <w:color w:val="000000" w:themeColor="text1"/>
          <w:u w:val="single"/>
          <w:lang w:eastAsia="en-GB"/>
        </w:rPr>
        <w:t>sponsored F</w:t>
      </w:r>
      <w:r w:rsidR="005E3CDC" w:rsidRPr="005A6065">
        <w:rPr>
          <w:rFonts w:asciiTheme="minorHAnsi" w:eastAsia="Times New Roman" w:hAnsiTheme="minorHAnsi" w:cstheme="minorHAnsi"/>
          <w:color w:val="000000" w:themeColor="text1"/>
          <w:u w:val="single"/>
          <w:lang w:eastAsia="en-GB"/>
        </w:rPr>
        <w:t>ellows</w:t>
      </w:r>
      <w:r w:rsidR="00A363E0">
        <w:rPr>
          <w:rFonts w:asciiTheme="minorHAnsi" w:eastAsia="Times New Roman" w:hAnsiTheme="minorHAnsi" w:cstheme="minorHAnsi"/>
          <w:color w:val="000000" w:themeColor="text1"/>
          <w:u w:val="single"/>
          <w:lang w:eastAsia="en-GB"/>
        </w:rPr>
        <w:br/>
      </w:r>
      <w:r w:rsidR="00A363E0">
        <w:rPr>
          <w:rFonts w:asciiTheme="minorHAnsi" w:eastAsia="Times New Roman" w:hAnsiTheme="minorHAnsi" w:cstheme="minorHAnsi"/>
          <w:color w:val="000000" w:themeColor="text1"/>
          <w:u w:val="single"/>
          <w:lang w:eastAsia="en-GB"/>
        </w:rPr>
        <w:br/>
      </w:r>
      <w:r w:rsidR="00A363E0" w:rsidRPr="00A363E0">
        <w:rPr>
          <w:rFonts w:asciiTheme="minorHAnsi" w:eastAsia="Times New Roman" w:hAnsiTheme="minorHAnsi" w:cstheme="minorHAnsi"/>
          <w:color w:val="000000" w:themeColor="text1"/>
          <w:lang w:eastAsia="en-GB"/>
        </w:rPr>
        <w:t>Applicants:</w:t>
      </w:r>
      <w:r w:rsidR="00A363E0">
        <w:rPr>
          <w:rFonts w:asciiTheme="minorHAnsi" w:eastAsia="Times New Roman" w:hAnsiTheme="minorHAnsi" w:cstheme="minorHAnsi"/>
          <w:color w:val="000000" w:themeColor="text1"/>
          <w:u w:val="single"/>
          <w:lang w:eastAsia="en-GB"/>
        </w:rPr>
        <w:t xml:space="preserve"> </w:t>
      </w:r>
    </w:p>
    <w:p w14:paraId="2C6C320F" w14:textId="0625EF5B" w:rsidR="00A363E0" w:rsidRDefault="0061687F" w:rsidP="00A363E0">
      <w:pPr>
        <w:pStyle w:val="ListParagraph"/>
        <w:numPr>
          <w:ilvl w:val="0"/>
          <w:numId w:val="13"/>
        </w:numPr>
        <w:jc w:val="both"/>
      </w:pPr>
      <w:r>
        <w:t>Specialist S</w:t>
      </w:r>
      <w:r w:rsidR="00A363E0">
        <w:t>ociety</w:t>
      </w:r>
      <w:r w:rsidR="005D3863">
        <w:t>/Specialist Interest</w:t>
      </w:r>
      <w:r w:rsidR="00A363E0">
        <w:t xml:space="preserve"> sponsored places wil</w:t>
      </w:r>
      <w:r>
        <w:t>l be appointed by the relevant Specialist S</w:t>
      </w:r>
      <w:r w:rsidR="00A363E0">
        <w:t>ociety</w:t>
      </w:r>
      <w:r w:rsidR="005D3863">
        <w:t>/Interest</w:t>
      </w:r>
      <w:r w:rsidR="00A363E0">
        <w:t xml:space="preserve"> or, in some cases, the recruitment process may be handled by BOA and applicants should check carefully the instructions provided on the relevant Specialist Society</w:t>
      </w:r>
      <w:r w:rsidR="005D3863">
        <w:t>/Specialist Interest</w:t>
      </w:r>
      <w:r w:rsidR="00A363E0">
        <w:t xml:space="preserve"> website and the BOA website.</w:t>
      </w:r>
      <w:r w:rsidR="006967AF">
        <w:tab/>
      </w:r>
      <w:r w:rsidR="00A363E0">
        <w:t xml:space="preserve"> </w:t>
      </w:r>
      <w:r w:rsidR="006967AF">
        <w:br/>
      </w:r>
    </w:p>
    <w:p w14:paraId="29CFEFC5" w14:textId="3E16BCEB" w:rsidR="00380742" w:rsidRDefault="0061687F" w:rsidP="00CF1226">
      <w:pPr>
        <w:pStyle w:val="ListParagraph"/>
        <w:numPr>
          <w:ilvl w:val="0"/>
          <w:numId w:val="13"/>
        </w:numPr>
        <w:jc w:val="both"/>
      </w:pPr>
      <w:r>
        <w:t>Places sponsored by a Specialist S</w:t>
      </w:r>
      <w:r w:rsidR="005D3863">
        <w:t xml:space="preserve">ociety/Specialist Interest </w:t>
      </w:r>
      <w:r w:rsidR="00A363E0">
        <w:t xml:space="preserve">may have specific eligibility criteria. Applicants should ensure they check carefully the application instructions and requirements before submitting an application. </w:t>
      </w:r>
      <w:r w:rsidR="00F9694B">
        <w:t>Ineligible applications will not be put forward for selection.</w:t>
      </w:r>
    </w:p>
    <w:p w14:paraId="547B5E11" w14:textId="77777777" w:rsidR="005D3863" w:rsidRDefault="005D3863" w:rsidP="005D3863">
      <w:pPr>
        <w:pStyle w:val="ListParagraph"/>
        <w:jc w:val="both"/>
      </w:pPr>
    </w:p>
    <w:p w14:paraId="1C0EC6F2" w14:textId="6274FF33" w:rsidR="005E3CDC" w:rsidRDefault="005E3CDC" w:rsidP="00CF1226">
      <w:pPr>
        <w:pStyle w:val="ListParagraph"/>
        <w:numPr>
          <w:ilvl w:val="0"/>
          <w:numId w:val="13"/>
        </w:numPr>
        <w:jc w:val="both"/>
      </w:pPr>
      <w:r>
        <w:t>If an applicant wishe</w:t>
      </w:r>
      <w:r w:rsidR="0061687F">
        <w:t>s to apply for a place via a Specialist S</w:t>
      </w:r>
      <w:r>
        <w:t>ociety</w:t>
      </w:r>
      <w:r w:rsidR="005D3863">
        <w:t>/Specialist Interest</w:t>
      </w:r>
      <w:r>
        <w:t xml:space="preserve"> sponsored route AND as an individual (self-funded</w:t>
      </w:r>
      <w:r w:rsidR="00C85FA5">
        <w:t>/BOA-sponsored</w:t>
      </w:r>
      <w:r>
        <w:t>) they must indicate this on their application form</w:t>
      </w:r>
      <w:r w:rsidR="00B71D47">
        <w:t>.</w:t>
      </w:r>
      <w:r w:rsidR="006967AF">
        <w:lastRenderedPageBreak/>
        <w:tab/>
      </w:r>
      <w:r w:rsidR="006967AF">
        <w:br/>
      </w:r>
    </w:p>
    <w:p w14:paraId="5BBAA6B1" w14:textId="039F98AA" w:rsidR="00E23A28" w:rsidRDefault="00E23A28" w:rsidP="00CF1226">
      <w:pPr>
        <w:pStyle w:val="ListParagraph"/>
        <w:numPr>
          <w:ilvl w:val="0"/>
          <w:numId w:val="13"/>
        </w:numPr>
        <w:jc w:val="both"/>
      </w:pPr>
      <w:r>
        <w:t>The course fee for an appointed Specialist Society</w:t>
      </w:r>
      <w:r w:rsidR="005D3863">
        <w:t>/Specialist Interest</w:t>
      </w:r>
      <w:r>
        <w:t>-sponsored fellow will be covered by the relevant Specialist Society</w:t>
      </w:r>
      <w:r w:rsidR="005D3863">
        <w:t>/Interest</w:t>
      </w:r>
      <w:r w:rsidR="00652421">
        <w:t>, unless specifically started in the eligibility criteria</w:t>
      </w:r>
      <w:r>
        <w:t>. All other costs, including travel and accommodation must be covered</w:t>
      </w:r>
      <w:r w:rsidR="006967AF">
        <w:t xml:space="preserve"> </w:t>
      </w:r>
      <w:r>
        <w:t xml:space="preserve">by the appointed fellow. </w:t>
      </w:r>
    </w:p>
    <w:p w14:paraId="2653DE40" w14:textId="4EB10F18" w:rsidR="005E3CDC" w:rsidRDefault="005E3CDC" w:rsidP="005E3CDC">
      <w:pPr>
        <w:pStyle w:val="ListParagraph"/>
        <w:ind w:left="644"/>
        <w:jc w:val="both"/>
      </w:pPr>
    </w:p>
    <w:p w14:paraId="799CE2EF" w14:textId="4229B29B" w:rsidR="005E3CDC" w:rsidRDefault="0061687F" w:rsidP="005E3CDC">
      <w:pPr>
        <w:pStyle w:val="ListParagraph"/>
        <w:ind w:left="644"/>
        <w:jc w:val="both"/>
      </w:pPr>
      <w:r>
        <w:t>Specialist S</w:t>
      </w:r>
      <w:r w:rsidR="00A363E0">
        <w:t>ociety</w:t>
      </w:r>
      <w:r w:rsidR="005D3863">
        <w:t>/Specialist Interest</w:t>
      </w:r>
      <w:r w:rsidR="00A363E0">
        <w:t xml:space="preserve">: </w:t>
      </w:r>
    </w:p>
    <w:p w14:paraId="5B4E77D0" w14:textId="2186190A" w:rsidR="00A363E0" w:rsidRDefault="0061687F" w:rsidP="00A363E0">
      <w:pPr>
        <w:pStyle w:val="ListParagraph"/>
        <w:numPr>
          <w:ilvl w:val="0"/>
          <w:numId w:val="13"/>
        </w:numPr>
        <w:jc w:val="both"/>
      </w:pPr>
      <w:r>
        <w:t>Specialist S</w:t>
      </w:r>
      <w:r w:rsidR="00A363E0">
        <w:t>ocieties</w:t>
      </w:r>
      <w:r w:rsidR="005D3863">
        <w:t>/Specialist Interests</w:t>
      </w:r>
      <w:r w:rsidR="00A363E0">
        <w:t xml:space="preserve"> running their own appointment process should provide details of the appointed fellow to the BOA by no later </w:t>
      </w:r>
      <w:r w:rsidR="00A363E0" w:rsidRPr="006D776C">
        <w:t xml:space="preserve">than </w:t>
      </w:r>
      <w:r w:rsidR="00E865AE" w:rsidRPr="005678B2">
        <w:t>1</w:t>
      </w:r>
      <w:r w:rsidR="00E865AE" w:rsidRPr="005678B2">
        <w:rPr>
          <w:vertAlign w:val="superscript"/>
        </w:rPr>
        <w:t>st</w:t>
      </w:r>
      <w:r w:rsidR="00BB170E" w:rsidRPr="005678B2">
        <w:t xml:space="preserve"> August</w:t>
      </w:r>
      <w:r w:rsidR="006B79D9" w:rsidRPr="005678B2">
        <w:t xml:space="preserve"> 202</w:t>
      </w:r>
      <w:r w:rsidR="005678B2">
        <w:t>6.</w:t>
      </w:r>
      <w:r w:rsidR="006967AF">
        <w:tab/>
      </w:r>
      <w:r w:rsidR="006967AF">
        <w:br/>
      </w:r>
    </w:p>
    <w:p w14:paraId="215AE741" w14:textId="39686CD1" w:rsidR="00A363E0" w:rsidRDefault="005E3CDC" w:rsidP="00A363E0">
      <w:pPr>
        <w:pStyle w:val="ListParagraph"/>
        <w:numPr>
          <w:ilvl w:val="0"/>
          <w:numId w:val="13"/>
        </w:numPr>
        <w:jc w:val="both"/>
      </w:pPr>
      <w:r>
        <w:t xml:space="preserve">Fees for the </w:t>
      </w:r>
      <w:r w:rsidR="006B79D9" w:rsidRPr="005678B2">
        <w:t>202</w:t>
      </w:r>
      <w:r w:rsidR="005678B2" w:rsidRPr="005678B2">
        <w:t>6</w:t>
      </w:r>
      <w:r w:rsidR="00E865AE" w:rsidRPr="005678B2">
        <w:t>-2</w:t>
      </w:r>
      <w:r w:rsidR="005678B2" w:rsidRPr="005678B2">
        <w:t>7</w:t>
      </w:r>
      <w:r>
        <w:t xml:space="preserve"> Future Leaders Programme </w:t>
      </w:r>
      <w:r w:rsidRPr="006D776C">
        <w:t xml:space="preserve">are </w:t>
      </w:r>
      <w:r w:rsidRPr="005678B2">
        <w:t>£</w:t>
      </w:r>
      <w:r w:rsidR="006B79D9" w:rsidRPr="005678B2">
        <w:rPr>
          <w:rFonts w:cstheme="minorHAnsi"/>
        </w:rPr>
        <w:t>3,</w:t>
      </w:r>
      <w:r w:rsidR="005678B2" w:rsidRPr="005678B2">
        <w:rPr>
          <w:rFonts w:cstheme="minorHAnsi"/>
        </w:rPr>
        <w:t>45</w:t>
      </w:r>
      <w:r w:rsidR="00E865AE" w:rsidRPr="005678B2">
        <w:rPr>
          <w:rFonts w:cstheme="minorHAnsi"/>
        </w:rPr>
        <w:t xml:space="preserve">0 </w:t>
      </w:r>
      <w:r w:rsidRPr="005678B2">
        <w:t>(</w:t>
      </w:r>
      <w:r w:rsidR="005678B2" w:rsidRPr="005678B2">
        <w:t xml:space="preserve">plus </w:t>
      </w:r>
      <w:r w:rsidRPr="005678B2">
        <w:t>VAT)</w:t>
      </w:r>
      <w:r w:rsidR="00264748" w:rsidRPr="005678B2">
        <w:t>.</w:t>
      </w:r>
      <w:r w:rsidR="00264748" w:rsidRPr="006D776C">
        <w:t xml:space="preserve"> Invoices</w:t>
      </w:r>
      <w:r w:rsidR="00264748">
        <w:t xml:space="preserve"> will be issued following co</w:t>
      </w:r>
      <w:r w:rsidR="0061687F">
        <w:t>nfirmation to the BOA from the Specialist S</w:t>
      </w:r>
      <w:r w:rsidR="00264748">
        <w:t>ociety</w:t>
      </w:r>
      <w:r w:rsidR="005D3863">
        <w:t>/Specialist Interest</w:t>
      </w:r>
      <w:r w:rsidR="00264748">
        <w:t xml:space="preserve"> that they will sponsor a place/s. F</w:t>
      </w:r>
      <w:r w:rsidR="00A363E0">
        <w:t xml:space="preserve">ull payment of the fee should be made </w:t>
      </w:r>
      <w:r w:rsidR="00264748">
        <w:t xml:space="preserve">within 6 weeks of the invoice being issued. </w:t>
      </w:r>
    </w:p>
    <w:p w14:paraId="3E632C71" w14:textId="6B8B46D8" w:rsidR="001E3E24" w:rsidRPr="006967AF" w:rsidRDefault="001E3E24" w:rsidP="006967AF">
      <w:pPr>
        <w:spacing w:before="100" w:beforeAutospacing="1" w:after="0" w:line="240" w:lineRule="auto"/>
        <w:ind w:firstLine="360"/>
        <w:rPr>
          <w:rFonts w:asciiTheme="minorHAnsi" w:eastAsia="Times New Roman" w:hAnsiTheme="minorHAnsi" w:cstheme="minorHAnsi"/>
          <w:color w:val="000000" w:themeColor="text1"/>
          <w:u w:val="single"/>
          <w:lang w:eastAsia="en-GB"/>
        </w:rPr>
      </w:pPr>
      <w:r w:rsidRPr="006967AF">
        <w:rPr>
          <w:rFonts w:asciiTheme="minorHAnsi" w:eastAsia="Times New Roman" w:hAnsiTheme="minorHAnsi" w:cstheme="minorHAnsi"/>
          <w:color w:val="000000" w:themeColor="text1"/>
          <w:u w:val="single"/>
          <w:lang w:eastAsia="en-GB"/>
        </w:rPr>
        <w:t xml:space="preserve">BOA-sponsored </w:t>
      </w:r>
      <w:r w:rsidR="00C02313">
        <w:rPr>
          <w:rFonts w:asciiTheme="minorHAnsi" w:eastAsia="Times New Roman" w:hAnsiTheme="minorHAnsi" w:cstheme="minorHAnsi"/>
          <w:color w:val="000000" w:themeColor="text1"/>
          <w:u w:val="single"/>
          <w:lang w:eastAsia="en-GB"/>
        </w:rPr>
        <w:t>Fellow</w:t>
      </w:r>
    </w:p>
    <w:p w14:paraId="12FDE208" w14:textId="6B3EF5D6" w:rsidR="001E3E24" w:rsidRDefault="001E3E24" w:rsidP="006967AF">
      <w:pPr>
        <w:jc w:val="both"/>
      </w:pPr>
    </w:p>
    <w:p w14:paraId="2C661947" w14:textId="28AC69DA" w:rsidR="00554690" w:rsidRDefault="00735A34" w:rsidP="00392B38">
      <w:pPr>
        <w:pStyle w:val="ListParagraph"/>
        <w:numPr>
          <w:ilvl w:val="0"/>
          <w:numId w:val="13"/>
        </w:numPr>
        <w:jc w:val="both"/>
      </w:pPr>
      <w:r>
        <w:t>One</w:t>
      </w:r>
      <w:r w:rsidR="001E3E24">
        <w:t xml:space="preserve"> BOA-sponsored place</w:t>
      </w:r>
      <w:r>
        <w:t xml:space="preserve"> is open </w:t>
      </w:r>
      <w:r w:rsidR="00C02313">
        <w:t xml:space="preserve">to applicants </w:t>
      </w:r>
      <w:r w:rsidR="00C02313" w:rsidRPr="00837CDC">
        <w:t xml:space="preserve">who </w:t>
      </w:r>
      <w:r w:rsidR="000378FF" w:rsidRPr="00837CDC">
        <w:t>demonstrate a commitment to the aims</w:t>
      </w:r>
      <w:r w:rsidR="000378FF">
        <w:t xml:space="preserve"> of</w:t>
      </w:r>
      <w:r w:rsidR="00C02313">
        <w:t xml:space="preserve"> the BOA Diversity and Inclusion Strategy.</w:t>
      </w:r>
      <w:r w:rsidR="006A4C99">
        <w:t xml:space="preserve"> </w:t>
      </w:r>
    </w:p>
    <w:p w14:paraId="206CE7C7" w14:textId="77777777" w:rsidR="00DD0A69" w:rsidRDefault="00DD0A69" w:rsidP="00DD0A69">
      <w:pPr>
        <w:pStyle w:val="ListParagraph"/>
        <w:jc w:val="both"/>
      </w:pPr>
    </w:p>
    <w:p w14:paraId="706AC487" w14:textId="7D61161C" w:rsidR="00554690" w:rsidRDefault="006A4C99" w:rsidP="006967AF">
      <w:pPr>
        <w:pStyle w:val="ListParagraph"/>
        <w:numPr>
          <w:ilvl w:val="0"/>
          <w:numId w:val="13"/>
        </w:numPr>
        <w:jc w:val="both"/>
      </w:pPr>
      <w:r>
        <w:t>Appointments to the BOA-sponsored</w:t>
      </w:r>
      <w:r w:rsidR="00C02313">
        <w:t xml:space="preserve"> </w:t>
      </w:r>
      <w:r>
        <w:t xml:space="preserve">place are made by the BOA and applicants must follow the application instructions and deadlines listed on the BOA website. </w:t>
      </w:r>
      <w:r w:rsidR="00A60A58">
        <w:t>Shortlisted candidates are usually invited to an online interview – further details to be provided at the time</w:t>
      </w:r>
      <w:r w:rsidRPr="00167825">
        <w:t>.</w:t>
      </w:r>
      <w:r w:rsidR="00554690">
        <w:tab/>
      </w:r>
      <w:r w:rsidRPr="00167825">
        <w:t xml:space="preserve"> </w:t>
      </w:r>
      <w:r w:rsidR="00554690">
        <w:br/>
      </w:r>
    </w:p>
    <w:p w14:paraId="3F7E7D6D" w14:textId="44BE597E" w:rsidR="00554690" w:rsidRDefault="006A4C99" w:rsidP="00C85FA5">
      <w:pPr>
        <w:pStyle w:val="ListParagraph"/>
        <w:numPr>
          <w:ilvl w:val="0"/>
          <w:numId w:val="13"/>
        </w:numPr>
        <w:jc w:val="both"/>
      </w:pPr>
      <w:r>
        <w:t xml:space="preserve">All applicants will be informed </w:t>
      </w:r>
      <w:r w:rsidRPr="006D776C">
        <w:t xml:space="preserve">by </w:t>
      </w:r>
      <w:r w:rsidR="00E865AE" w:rsidRPr="005678B2">
        <w:t>1</w:t>
      </w:r>
      <w:r w:rsidR="00E865AE" w:rsidRPr="005678B2">
        <w:rPr>
          <w:vertAlign w:val="superscript"/>
        </w:rPr>
        <w:t>st</w:t>
      </w:r>
      <w:r w:rsidR="00BB170E" w:rsidRPr="005678B2">
        <w:t xml:space="preserve"> August 202</w:t>
      </w:r>
      <w:r w:rsidR="005678B2" w:rsidRPr="005678B2">
        <w:t>6</w:t>
      </w:r>
      <w:r w:rsidRPr="006D776C">
        <w:t xml:space="preserve"> as to whether</w:t>
      </w:r>
      <w:r>
        <w:t xml:space="preserve"> their application is successful</w:t>
      </w:r>
      <w:r w:rsidR="00A60A58">
        <w:t>.</w:t>
      </w:r>
      <w:r w:rsidR="00554690">
        <w:br/>
      </w:r>
    </w:p>
    <w:p w14:paraId="31E77B15" w14:textId="7629DFE0" w:rsidR="006A4C99" w:rsidRDefault="006A4C99" w:rsidP="006967AF">
      <w:pPr>
        <w:pStyle w:val="ListParagraph"/>
        <w:numPr>
          <w:ilvl w:val="0"/>
          <w:numId w:val="13"/>
        </w:numPr>
        <w:jc w:val="both"/>
      </w:pPr>
      <w:r>
        <w:t xml:space="preserve">The full course fee for the </w:t>
      </w:r>
      <w:r w:rsidR="00E23A28">
        <w:t>appointed BOA-sponsored fellow</w:t>
      </w:r>
      <w:r>
        <w:t xml:space="preserve"> w</w:t>
      </w:r>
      <w:r w:rsidR="00E23A28">
        <w:t xml:space="preserve">ill be covered by the BOA. The appointed fellow must cover all other costs, including travel and accommodation for the FLP. </w:t>
      </w:r>
    </w:p>
    <w:p w14:paraId="718C31C3" w14:textId="77777777" w:rsidR="006A4C99" w:rsidRDefault="006A4C99" w:rsidP="006967AF">
      <w:pPr>
        <w:jc w:val="both"/>
      </w:pPr>
    </w:p>
    <w:p w14:paraId="79797AE3" w14:textId="21D4D5C5" w:rsidR="00A363E0" w:rsidRPr="00A363E0" w:rsidRDefault="00A363E0" w:rsidP="00A363E0">
      <w:pPr>
        <w:pStyle w:val="Subtitle"/>
        <w:rPr>
          <w:rFonts w:ascii="Calibri" w:hAnsi="Calibri"/>
          <w:b/>
          <w:color w:val="auto"/>
        </w:rPr>
      </w:pPr>
      <w:r w:rsidRPr="00A363E0">
        <w:rPr>
          <w:rFonts w:ascii="Calibri" w:hAnsi="Calibri"/>
          <w:b/>
          <w:color w:val="auto"/>
        </w:rPr>
        <w:t>The Programme</w:t>
      </w:r>
    </w:p>
    <w:p w14:paraId="75FF36E3" w14:textId="53FC2218" w:rsidR="00E20E27" w:rsidRDefault="005B6C18" w:rsidP="00A363E0">
      <w:pPr>
        <w:pStyle w:val="ListParagraph"/>
        <w:numPr>
          <w:ilvl w:val="0"/>
          <w:numId w:val="14"/>
        </w:numPr>
      </w:pPr>
      <w:r>
        <w:t>The FLP is facilitated by Lisa Hadfield-Law (BOA Education Advisor) and Hiro Tanaka (</w:t>
      </w:r>
      <w:r w:rsidR="00E865AE">
        <w:t>Executive Lead of</w:t>
      </w:r>
      <w:r>
        <w:t xml:space="preserve"> BOA Education and Careers Committee), along with additional Faculty. </w:t>
      </w:r>
      <w:r w:rsidR="006967AF">
        <w:br/>
      </w:r>
    </w:p>
    <w:p w14:paraId="23853874" w14:textId="2A7346E8" w:rsidR="00526D08" w:rsidRDefault="00A363E0" w:rsidP="00A363E0">
      <w:pPr>
        <w:pStyle w:val="ListParagraph"/>
        <w:numPr>
          <w:ilvl w:val="0"/>
          <w:numId w:val="14"/>
        </w:numPr>
      </w:pPr>
      <w:r w:rsidRPr="00A363E0">
        <w:t xml:space="preserve">The BOA works in collaboration with </w:t>
      </w:r>
      <w:r w:rsidR="00526D08">
        <w:t xml:space="preserve">Baileys Consulting for the delivery of the </w:t>
      </w:r>
      <w:r w:rsidR="0061687F">
        <w:t>FLP</w:t>
      </w:r>
      <w:r w:rsidR="00526D08">
        <w:t xml:space="preserve">. Baileys Consulting is responsible for the delivery of the course programme, details of which are available on the </w:t>
      </w:r>
      <w:hyperlink r:id="rId8" w:history="1">
        <w:r w:rsidR="00526D08" w:rsidRPr="007A739F">
          <w:rPr>
            <w:rStyle w:val="Hyperlink"/>
          </w:rPr>
          <w:t>BOA website</w:t>
        </w:r>
      </w:hyperlink>
      <w:r w:rsidR="00526D08">
        <w:t>.</w:t>
      </w:r>
      <w:r w:rsidR="006967AF">
        <w:br/>
      </w:r>
    </w:p>
    <w:p w14:paraId="70A9F704" w14:textId="2292A8DA" w:rsidR="00A363E0" w:rsidRPr="002E601B" w:rsidRDefault="00E20E27" w:rsidP="00A363E0">
      <w:pPr>
        <w:pStyle w:val="ListParagraph"/>
        <w:numPr>
          <w:ilvl w:val="0"/>
          <w:numId w:val="14"/>
        </w:numPr>
      </w:pPr>
      <w:r>
        <w:t>Invoices will be issued by Baileys Consulting and payment of course fees for places via any route should be made directly to Baileys Consulting</w:t>
      </w:r>
      <w:r w:rsidR="00526D08">
        <w:t xml:space="preserve">. </w:t>
      </w:r>
      <w:r w:rsidR="002E601B">
        <w:br/>
      </w:r>
    </w:p>
    <w:p w14:paraId="4376539B" w14:textId="77777777" w:rsidR="00A363E0" w:rsidRPr="00A363E0" w:rsidRDefault="00A363E0" w:rsidP="00A363E0">
      <w:pPr>
        <w:pStyle w:val="Subtitle"/>
        <w:rPr>
          <w:rFonts w:ascii="Calibri" w:hAnsi="Calibri"/>
          <w:b/>
          <w:color w:val="auto"/>
        </w:rPr>
      </w:pPr>
      <w:r w:rsidRPr="00A363E0">
        <w:rPr>
          <w:rFonts w:ascii="Calibri" w:hAnsi="Calibri"/>
          <w:b/>
          <w:color w:val="auto"/>
        </w:rPr>
        <w:t>Fellowship Projects and Publicity</w:t>
      </w:r>
    </w:p>
    <w:p w14:paraId="0C3801B2" w14:textId="6FDC2609" w:rsidR="00223545" w:rsidRDefault="00A363E0" w:rsidP="00A363E0">
      <w:pPr>
        <w:pStyle w:val="ListParagraph"/>
        <w:numPr>
          <w:ilvl w:val="0"/>
          <w:numId w:val="4"/>
        </w:numPr>
        <w:jc w:val="both"/>
      </w:pPr>
      <w:r w:rsidRPr="00A363E0">
        <w:t xml:space="preserve">As part of the Future Leaders Programme, participants will develop a Quality Improvement Project. </w:t>
      </w:r>
      <w:r w:rsidRPr="00A363E0">
        <w:br/>
        <w:t xml:space="preserve">The </w:t>
      </w:r>
      <w:r w:rsidR="00223545">
        <w:t xml:space="preserve">participants should expect that their </w:t>
      </w:r>
      <w:r w:rsidRPr="00A363E0">
        <w:t>project – or aspects of it – may be presented as a screencast</w:t>
      </w:r>
      <w:r w:rsidR="00223545">
        <w:t xml:space="preserve"> </w:t>
      </w:r>
      <w:r w:rsidR="00223545">
        <w:lastRenderedPageBreak/>
        <w:t>(for upload to the BOA website)</w:t>
      </w:r>
      <w:r w:rsidRPr="00A363E0">
        <w:t xml:space="preserve"> and</w:t>
      </w:r>
      <w:r w:rsidR="00223545">
        <w:t>/or</w:t>
      </w:r>
      <w:r w:rsidRPr="00A363E0">
        <w:t xml:space="preserve"> as a presentation at the BOA Congress.</w:t>
      </w:r>
      <w:r w:rsidR="006967AF">
        <w:tab/>
      </w:r>
      <w:r w:rsidRPr="00A363E0">
        <w:t xml:space="preserve"> </w:t>
      </w:r>
      <w:r w:rsidR="006967AF">
        <w:br/>
      </w:r>
    </w:p>
    <w:p w14:paraId="19F672C6" w14:textId="11CED1DA" w:rsidR="006F0FF5" w:rsidRDefault="00A363E0" w:rsidP="005E3CDC">
      <w:pPr>
        <w:pStyle w:val="ListParagraph"/>
        <w:numPr>
          <w:ilvl w:val="0"/>
          <w:numId w:val="4"/>
        </w:numPr>
        <w:jc w:val="both"/>
      </w:pPr>
      <w:r w:rsidRPr="00A363E0">
        <w:t xml:space="preserve">The BOA </w:t>
      </w:r>
      <w:r w:rsidR="00223545">
        <w:t xml:space="preserve">may use photos taken from the courses and project screencasts for </w:t>
      </w:r>
      <w:r w:rsidRPr="00A363E0">
        <w:t xml:space="preserve">publicity and for other purposes as it sees fit. </w:t>
      </w:r>
    </w:p>
    <w:p w14:paraId="6A41D304" w14:textId="433DCDFD" w:rsidR="00A363E0" w:rsidRDefault="00A363E0" w:rsidP="00A363E0">
      <w:pPr>
        <w:pStyle w:val="Subtitle"/>
        <w:rPr>
          <w:rFonts w:ascii="Calibri" w:hAnsi="Calibri"/>
          <w:b/>
          <w:color w:val="auto"/>
        </w:rPr>
      </w:pPr>
      <w:r>
        <w:rPr>
          <w:rFonts w:ascii="Calibri" w:hAnsi="Calibri"/>
          <w:b/>
          <w:color w:val="auto"/>
        </w:rPr>
        <w:t>Processing of data</w:t>
      </w:r>
    </w:p>
    <w:p w14:paraId="35143016" w14:textId="0F18111F" w:rsidR="0046632F" w:rsidRPr="0046632F" w:rsidRDefault="0046632F" w:rsidP="0046632F">
      <w:pPr>
        <w:pStyle w:val="ListParagraph"/>
        <w:numPr>
          <w:ilvl w:val="0"/>
          <w:numId w:val="16"/>
        </w:numPr>
      </w:pPr>
      <w:r>
        <w:t xml:space="preserve">For applicants applying via the BOA, application information will be shared with relevant staff and members of the BOA Education and Careers Committee. Information will be retained as follows: </w:t>
      </w:r>
      <w:r>
        <w:br/>
      </w:r>
    </w:p>
    <w:p w14:paraId="6AD167D1" w14:textId="08246225" w:rsidR="00A363E0" w:rsidRDefault="00A363E0" w:rsidP="00A363E0">
      <w:pPr>
        <w:pStyle w:val="ListParagraph"/>
        <w:numPr>
          <w:ilvl w:val="0"/>
          <w:numId w:val="15"/>
        </w:numPr>
        <w:spacing w:after="160" w:line="259" w:lineRule="auto"/>
      </w:pPr>
      <w:r>
        <w:t xml:space="preserve">Successful candidate documents to be retained for one year after completion of the </w:t>
      </w:r>
      <w:r w:rsidR="0046632F">
        <w:t>Programme.</w:t>
      </w:r>
    </w:p>
    <w:p w14:paraId="7E88A081" w14:textId="658EC599" w:rsidR="00A363E0" w:rsidRDefault="00A363E0" w:rsidP="00A363E0">
      <w:pPr>
        <w:pStyle w:val="ListParagraph"/>
        <w:numPr>
          <w:ilvl w:val="0"/>
          <w:numId w:val="15"/>
        </w:numPr>
        <w:spacing w:after="160" w:line="259" w:lineRule="auto"/>
      </w:pPr>
      <w:r>
        <w:t xml:space="preserve">Unsuccessful candidate documentation to be retained until all successful candidates have confirmed their </w:t>
      </w:r>
      <w:r w:rsidR="0046632F">
        <w:t xml:space="preserve">appointment to the programme. </w:t>
      </w:r>
    </w:p>
    <w:p w14:paraId="5A825E23" w14:textId="54E8A116" w:rsidR="00A363E0" w:rsidRDefault="00A363E0" w:rsidP="0046632F">
      <w:pPr>
        <w:ind w:left="720"/>
      </w:pPr>
      <w:r>
        <w:t>In our BOA membership records, we will record that</w:t>
      </w:r>
      <w:r w:rsidR="0046632F">
        <w:t xml:space="preserve"> an application as made and </w:t>
      </w:r>
      <w:r>
        <w:t xml:space="preserve">whether you were successful – this information will be retained for the duration of your membership and for </w:t>
      </w:r>
      <w:r w:rsidR="00DD0A69">
        <w:t xml:space="preserve">six </w:t>
      </w:r>
      <w:r>
        <w:t>years after (as our standard practice for membership records).</w:t>
      </w:r>
    </w:p>
    <w:p w14:paraId="193B3AAF" w14:textId="1B45A7A7" w:rsidR="00FD13C4" w:rsidRDefault="0046632F" w:rsidP="00173567">
      <w:pPr>
        <w:pStyle w:val="ListParagraph"/>
        <w:numPr>
          <w:ilvl w:val="0"/>
          <w:numId w:val="16"/>
        </w:numPr>
      </w:pPr>
      <w:r>
        <w:t>For applicants successfully appointed by a Trust or Specialist Society</w:t>
      </w:r>
      <w:r w:rsidR="005D3863">
        <w:t>/Specialist Interest</w:t>
      </w:r>
      <w:r>
        <w:t>, application information</w:t>
      </w:r>
      <w:r w:rsidRPr="0046632F">
        <w:t xml:space="preserve"> </w:t>
      </w:r>
      <w:r w:rsidR="00983D5F">
        <w:t xml:space="preserve">will be transferred to the BOA from the Trust/Society and then shared </w:t>
      </w:r>
      <w:r>
        <w:t xml:space="preserve">with relevant staff </w:t>
      </w:r>
      <w:r w:rsidR="00167825">
        <w:t xml:space="preserve">and </w:t>
      </w:r>
      <w:r w:rsidR="00983D5F">
        <w:t>the course facilitators</w:t>
      </w:r>
      <w:r>
        <w:t xml:space="preserve">. In our BOA membership records we will record that you were appointed to the Programme – this information will be retained for the duration of your membership and for </w:t>
      </w:r>
      <w:r w:rsidR="00DD0A69">
        <w:t xml:space="preserve">six </w:t>
      </w:r>
      <w:r>
        <w:t>years after (as our standard practice for membership records).</w:t>
      </w:r>
      <w:r w:rsidR="00DC73F5">
        <w:t xml:space="preserve"> </w:t>
      </w:r>
    </w:p>
    <w:p w14:paraId="6AB3DBF5" w14:textId="77777777" w:rsidR="00FD13C4" w:rsidRDefault="00FD13C4" w:rsidP="002E601B">
      <w:pPr>
        <w:pStyle w:val="ListParagraph"/>
      </w:pPr>
    </w:p>
    <w:p w14:paraId="20D8F946" w14:textId="2887D9C1" w:rsidR="0071600B" w:rsidRDefault="00DC73F5" w:rsidP="0071600B">
      <w:pPr>
        <w:pStyle w:val="ListParagraph"/>
        <w:numPr>
          <w:ilvl w:val="0"/>
          <w:numId w:val="16"/>
        </w:numPr>
      </w:pPr>
      <w:r>
        <w:t>We will hold information on the relevant contact person at the Trust or Specialist Society</w:t>
      </w:r>
      <w:r w:rsidR="005D3863">
        <w:t>/Specialist Interest</w:t>
      </w:r>
      <w:r>
        <w:t xml:space="preserve"> provided during the application process, for the duration of the programme. </w:t>
      </w:r>
      <w:r w:rsidRPr="0071600B">
        <w:t>This information may be shared with Baileys Consulting for the purpose of issuing invoices</w:t>
      </w:r>
      <w:r w:rsidR="00FD13C4" w:rsidRPr="0071600B">
        <w:t>, liaison regarding project sponsorship for participants and other purposes related to the delivery and evaluation of the programme</w:t>
      </w:r>
      <w:r w:rsidR="0071600B" w:rsidRPr="0071600B">
        <w:t>.</w:t>
      </w:r>
      <w:r w:rsidR="0071600B">
        <w:t xml:space="preserve"> The BOA privacy policy explains what personal data (information) is collected, shared and used. The full privacy policy is available here: </w:t>
      </w:r>
      <w:hyperlink r:id="rId9" w:history="1">
        <w:r w:rsidR="0071600B">
          <w:rPr>
            <w:rStyle w:val="Hyperlink"/>
          </w:rPr>
          <w:t>https://www.boa.ac.uk/privacy-policy.html</w:t>
        </w:r>
      </w:hyperlink>
    </w:p>
    <w:p w14:paraId="48B3938F" w14:textId="77777777" w:rsidR="00380742" w:rsidRDefault="00380742" w:rsidP="00770902">
      <w:pPr>
        <w:pStyle w:val="Subtitle"/>
        <w:rPr>
          <w:rFonts w:ascii="Calibri" w:hAnsi="Calibri"/>
          <w:color w:val="auto"/>
        </w:rPr>
      </w:pPr>
    </w:p>
    <w:p w14:paraId="210AAAF9" w14:textId="497025C5" w:rsidR="0046632F" w:rsidRDefault="0046632F" w:rsidP="0046632F">
      <w:pPr>
        <w:pStyle w:val="Subtitle"/>
        <w:rPr>
          <w:rFonts w:ascii="Calibri" w:hAnsi="Calibri"/>
          <w:b/>
          <w:color w:val="auto"/>
        </w:rPr>
      </w:pPr>
      <w:r>
        <w:rPr>
          <w:rFonts w:ascii="Calibri" w:hAnsi="Calibri"/>
          <w:b/>
          <w:color w:val="auto"/>
        </w:rPr>
        <w:t>Withdrawal from the Programme</w:t>
      </w:r>
    </w:p>
    <w:p w14:paraId="1126F5D2" w14:textId="07D19E6C" w:rsidR="00995961" w:rsidRPr="00995961" w:rsidRDefault="00995961" w:rsidP="0046632F">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An</w:t>
      </w:r>
      <w:r w:rsidRPr="00995961">
        <w:rPr>
          <w:rFonts w:asciiTheme="minorHAnsi" w:eastAsia="Times New Roman" w:hAnsiTheme="minorHAnsi" w:cstheme="minorHAnsi"/>
        </w:rPr>
        <w:t xml:space="preserve">y individual wishing to withdraw from the Programme must provide written confirmation to the BOA. </w:t>
      </w:r>
      <w:r w:rsidR="006967AF">
        <w:rPr>
          <w:rFonts w:asciiTheme="minorHAnsi" w:eastAsia="Times New Roman" w:hAnsiTheme="minorHAnsi" w:cstheme="minorHAnsi"/>
        </w:rPr>
        <w:br/>
      </w:r>
    </w:p>
    <w:p w14:paraId="7225960B" w14:textId="113A83DE" w:rsidR="00995961" w:rsidRPr="00995961" w:rsidRDefault="00995961" w:rsidP="0046632F">
      <w:pPr>
        <w:pStyle w:val="ListParagraph"/>
        <w:numPr>
          <w:ilvl w:val="0"/>
          <w:numId w:val="17"/>
        </w:numPr>
        <w:rPr>
          <w:rFonts w:ascii="Times New Roman" w:eastAsia="Times New Roman" w:hAnsi="Times New Roman"/>
        </w:rPr>
      </w:pPr>
      <w:r>
        <w:rPr>
          <w:rFonts w:eastAsia="Times New Roman"/>
        </w:rPr>
        <w:t xml:space="preserve">Applicants who have been successfully appointed via any route but then subsequently withdraw from the Programme prior to the </w:t>
      </w:r>
      <w:r w:rsidR="00DB6744" w:rsidRPr="005678B2">
        <w:rPr>
          <w:rFonts w:eastAsia="Times New Roman"/>
        </w:rPr>
        <w:t>1</w:t>
      </w:r>
      <w:r w:rsidR="00DB6744" w:rsidRPr="005678B2">
        <w:rPr>
          <w:rFonts w:eastAsia="Times New Roman"/>
          <w:vertAlign w:val="superscript"/>
        </w:rPr>
        <w:t>st</w:t>
      </w:r>
      <w:r w:rsidR="006B79D9" w:rsidRPr="005678B2">
        <w:rPr>
          <w:rFonts w:eastAsia="Times New Roman"/>
        </w:rPr>
        <w:t xml:space="preserve"> </w:t>
      </w:r>
      <w:r w:rsidR="00BB170E" w:rsidRPr="005678B2">
        <w:rPr>
          <w:rFonts w:eastAsia="Times New Roman"/>
        </w:rPr>
        <w:t>September</w:t>
      </w:r>
      <w:r w:rsidR="006B79D9" w:rsidRPr="005678B2">
        <w:rPr>
          <w:rFonts w:eastAsia="Times New Roman"/>
        </w:rPr>
        <w:t xml:space="preserve"> 202</w:t>
      </w:r>
      <w:r w:rsidR="005678B2" w:rsidRPr="005678B2">
        <w:rPr>
          <w:rFonts w:eastAsia="Times New Roman"/>
        </w:rPr>
        <w:t>6</w:t>
      </w:r>
      <w:r>
        <w:rPr>
          <w:rFonts w:eastAsia="Times New Roman"/>
        </w:rPr>
        <w:t xml:space="preserve"> will incur a cancellation fee of £750.  </w:t>
      </w:r>
      <w:r w:rsidR="006967AF">
        <w:rPr>
          <w:rFonts w:eastAsia="Times New Roman"/>
        </w:rPr>
        <w:br/>
      </w:r>
    </w:p>
    <w:p w14:paraId="2C703EE2" w14:textId="47616C16" w:rsidR="000C1403" w:rsidRPr="006967AF" w:rsidRDefault="00A32E5F" w:rsidP="0071600B">
      <w:pPr>
        <w:pStyle w:val="ListParagraph"/>
        <w:numPr>
          <w:ilvl w:val="0"/>
          <w:numId w:val="17"/>
        </w:numPr>
        <w:rPr>
          <w:rFonts w:ascii="Times New Roman" w:eastAsia="Times New Roman" w:hAnsi="Times New Roman"/>
        </w:rPr>
      </w:pPr>
      <w:r>
        <w:rPr>
          <w:rFonts w:eastAsia="Times New Roman"/>
        </w:rPr>
        <w:t xml:space="preserve">Participants wishing to withdraw from the Programme </w:t>
      </w:r>
      <w:r w:rsidRPr="006B79D9">
        <w:rPr>
          <w:rFonts w:eastAsia="Times New Roman"/>
        </w:rPr>
        <w:t xml:space="preserve">after the </w:t>
      </w:r>
      <w:r w:rsidR="00BB170E" w:rsidRPr="005678B2">
        <w:rPr>
          <w:rFonts w:eastAsia="Times New Roman"/>
        </w:rPr>
        <w:t>1</w:t>
      </w:r>
      <w:r w:rsidR="00BB170E" w:rsidRPr="005678B2">
        <w:rPr>
          <w:rFonts w:eastAsia="Times New Roman"/>
          <w:vertAlign w:val="superscript"/>
        </w:rPr>
        <w:t>st</w:t>
      </w:r>
      <w:r w:rsidR="00BB170E" w:rsidRPr="005678B2">
        <w:rPr>
          <w:rFonts w:eastAsia="Times New Roman"/>
        </w:rPr>
        <w:t xml:space="preserve"> September 202</w:t>
      </w:r>
      <w:r w:rsidR="005678B2" w:rsidRPr="005678B2">
        <w:rPr>
          <w:rFonts w:eastAsia="Times New Roman"/>
        </w:rPr>
        <w:t>6</w:t>
      </w:r>
      <w:r w:rsidR="00BB170E">
        <w:rPr>
          <w:rFonts w:eastAsia="Times New Roman"/>
        </w:rPr>
        <w:t xml:space="preserve"> </w:t>
      </w:r>
      <w:r>
        <w:rPr>
          <w:rFonts w:eastAsia="Times New Roman"/>
        </w:rPr>
        <w:t xml:space="preserve">will forfeit the </w:t>
      </w:r>
      <w:r w:rsidR="00995961">
        <w:rPr>
          <w:rFonts w:eastAsia="Times New Roman"/>
        </w:rPr>
        <w:t xml:space="preserve">entire </w:t>
      </w:r>
      <w:r>
        <w:rPr>
          <w:rFonts w:eastAsia="Times New Roman"/>
        </w:rPr>
        <w:t xml:space="preserve">course fee. </w:t>
      </w:r>
      <w:r w:rsidR="00995961">
        <w:rPr>
          <w:rFonts w:eastAsia="Times New Roman"/>
        </w:rPr>
        <w:t>Full or partial r</w:t>
      </w:r>
      <w:r>
        <w:rPr>
          <w:rFonts w:eastAsia="Times New Roman"/>
        </w:rPr>
        <w:t>efunds after this date will only be given in exceptional circumstances after consideration</w:t>
      </w:r>
      <w:r w:rsidR="00B054D7">
        <w:rPr>
          <w:rFonts w:eastAsia="Times New Roman"/>
        </w:rPr>
        <w:t xml:space="preserve"> by </w:t>
      </w:r>
      <w:r>
        <w:rPr>
          <w:rFonts w:eastAsia="Times New Roman"/>
        </w:rPr>
        <w:t>relevant members of the BOA Education and Careers Committee.</w:t>
      </w:r>
    </w:p>
    <w:p w14:paraId="1FD80D55" w14:textId="0EBBED30" w:rsidR="000C1403" w:rsidRPr="006967AF" w:rsidRDefault="000C1403" w:rsidP="006967AF">
      <w:pPr>
        <w:pStyle w:val="Subtitle"/>
        <w:rPr>
          <w:rFonts w:ascii="Calibri" w:eastAsia="Times New Roman" w:hAnsi="Calibri" w:cs="Calibri"/>
          <w:b/>
          <w:color w:val="auto"/>
        </w:rPr>
      </w:pPr>
      <w:r w:rsidRPr="006967AF">
        <w:rPr>
          <w:rFonts w:ascii="Calibri" w:eastAsia="Times New Roman" w:hAnsi="Calibri" w:cs="Calibri"/>
          <w:b/>
          <w:color w:val="auto"/>
        </w:rPr>
        <w:t xml:space="preserve">Equality and Diversity </w:t>
      </w:r>
    </w:p>
    <w:p w14:paraId="4C6DB491" w14:textId="1E498019" w:rsidR="000C1403" w:rsidRDefault="000C1403" w:rsidP="00BC2114">
      <w:pPr>
        <w:pStyle w:val="ListParagraph"/>
        <w:numPr>
          <w:ilvl w:val="0"/>
          <w:numId w:val="20"/>
        </w:numPr>
        <w:rPr>
          <w:rFonts w:eastAsia="Times New Roman" w:cs="Calibri"/>
        </w:rPr>
      </w:pPr>
      <w:r w:rsidRPr="006967AF">
        <w:rPr>
          <w:rFonts w:eastAsia="Times New Roman" w:cs="Calibri"/>
        </w:rPr>
        <w:lastRenderedPageBreak/>
        <w:t>Applicants for all routes will be required to complete and submit an Equality and Diversity Monitoring Form</w:t>
      </w:r>
      <w:r w:rsidR="00A32E5F" w:rsidRPr="006967AF">
        <w:rPr>
          <w:rFonts w:eastAsia="Times New Roman" w:cs="Calibri"/>
        </w:rPr>
        <w:t xml:space="preserve"> </w:t>
      </w:r>
      <w:r w:rsidRPr="006967AF">
        <w:rPr>
          <w:rFonts w:eastAsia="Times New Roman" w:cs="Calibri"/>
        </w:rPr>
        <w:t>along with</w:t>
      </w:r>
      <w:r w:rsidR="00A9552B" w:rsidRPr="006967AF">
        <w:rPr>
          <w:rFonts w:eastAsia="Times New Roman" w:cs="Calibri"/>
        </w:rPr>
        <w:t xml:space="preserve"> the relevant</w:t>
      </w:r>
      <w:r w:rsidRPr="006967AF">
        <w:rPr>
          <w:rFonts w:eastAsia="Times New Roman" w:cs="Calibri"/>
        </w:rPr>
        <w:t xml:space="preserve"> application form. If an applicant wishes to not specify an answer to any question listed on the form for any reason, they may choose the option “prefer not to say”</w:t>
      </w:r>
      <w:r w:rsidR="00EB7C01">
        <w:rPr>
          <w:rFonts w:eastAsia="Times New Roman" w:cs="Calibri"/>
        </w:rPr>
        <w:t>.</w:t>
      </w:r>
    </w:p>
    <w:p w14:paraId="04C4104F" w14:textId="77777777" w:rsidR="006B79D9" w:rsidRPr="006B79D9" w:rsidRDefault="006B79D9" w:rsidP="006B79D9">
      <w:pPr>
        <w:pStyle w:val="ListParagraph"/>
        <w:rPr>
          <w:rFonts w:eastAsia="Times New Roman" w:cs="Calibri"/>
        </w:rPr>
      </w:pPr>
    </w:p>
    <w:p w14:paraId="63EEBDC2" w14:textId="0DFC479A" w:rsidR="00F93E9B" w:rsidRDefault="00F93E9B" w:rsidP="006967AF">
      <w:pPr>
        <w:pStyle w:val="ListParagraph"/>
        <w:numPr>
          <w:ilvl w:val="0"/>
          <w:numId w:val="20"/>
        </w:numPr>
        <w:rPr>
          <w:rFonts w:eastAsia="Times New Roman" w:cs="Calibri"/>
        </w:rPr>
      </w:pPr>
      <w:r w:rsidRPr="006967AF">
        <w:rPr>
          <w:rFonts w:eastAsia="Times New Roman" w:cs="Calibri"/>
        </w:rPr>
        <w:t>All application processes run by the BOA will be subject to an anonymous processing practice, with identifying details removed from the application form before being passed to the deciding panel. This anonymised shortlisting process will be used to reduce the potential for unconscious bias. All Specialist Society</w:t>
      </w:r>
      <w:r w:rsidR="005D3863">
        <w:rPr>
          <w:rFonts w:eastAsia="Times New Roman" w:cs="Calibri"/>
        </w:rPr>
        <w:t>/Specialist Interest</w:t>
      </w:r>
      <w:r w:rsidRPr="006967AF">
        <w:rPr>
          <w:rFonts w:eastAsia="Times New Roman" w:cs="Calibri"/>
        </w:rPr>
        <w:t xml:space="preserve"> and Trust applications will also be subject to this </w:t>
      </w:r>
      <w:r w:rsidR="00A65D6B">
        <w:rPr>
          <w:rFonts w:eastAsia="Times New Roman" w:cs="Calibri"/>
        </w:rPr>
        <w:t>same anonymised</w:t>
      </w:r>
      <w:r w:rsidR="00A65D6B" w:rsidRPr="006967AF">
        <w:rPr>
          <w:rFonts w:eastAsia="Times New Roman" w:cs="Calibri"/>
        </w:rPr>
        <w:t xml:space="preserve"> </w:t>
      </w:r>
      <w:r w:rsidRPr="006967AF">
        <w:rPr>
          <w:rFonts w:eastAsia="Times New Roman" w:cs="Calibri"/>
        </w:rPr>
        <w:t>shortlisting process when conducting the selection procedure for their successful applicants.</w:t>
      </w:r>
    </w:p>
    <w:p w14:paraId="2253933F" w14:textId="06214D7B" w:rsidR="00F001D1" w:rsidRDefault="00F001D1" w:rsidP="00F001D1">
      <w:pPr>
        <w:rPr>
          <w:rFonts w:eastAsia="Times New Roman" w:cs="Calibri"/>
        </w:rPr>
      </w:pPr>
    </w:p>
    <w:p w14:paraId="46A61431" w14:textId="4651B4F1" w:rsidR="00F001D1" w:rsidRPr="00F001D1" w:rsidRDefault="00F001D1" w:rsidP="00F001D1">
      <w:pPr>
        <w:rPr>
          <w:rFonts w:eastAsia="Times New Roman" w:cs="Calibri"/>
        </w:rPr>
      </w:pPr>
      <w:r>
        <w:rPr>
          <w:rFonts w:eastAsia="Times New Roman" w:cs="Calibri"/>
        </w:rPr>
        <w:t xml:space="preserve">Updated </w:t>
      </w:r>
      <w:r w:rsidR="005678B2">
        <w:rPr>
          <w:rFonts w:eastAsia="Times New Roman" w:cs="Calibri"/>
        </w:rPr>
        <w:t>30 January 2026</w:t>
      </w:r>
    </w:p>
    <w:sectPr w:rsidR="00F001D1" w:rsidRPr="00F001D1" w:rsidSect="005D1FBB">
      <w:headerReference w:type="default" r:id="rId10"/>
      <w:footerReference w:type="default" r:id="rId11"/>
      <w:pgSz w:w="11906" w:h="16838"/>
      <w:pgMar w:top="1815" w:right="991" w:bottom="851" w:left="993"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DEBC" w14:textId="77777777" w:rsidR="002D1A4E" w:rsidRDefault="002D1A4E" w:rsidP="00770902">
      <w:pPr>
        <w:spacing w:after="0" w:line="240" w:lineRule="auto"/>
      </w:pPr>
      <w:r>
        <w:separator/>
      </w:r>
    </w:p>
  </w:endnote>
  <w:endnote w:type="continuationSeparator" w:id="0">
    <w:p w14:paraId="4B511646" w14:textId="77777777" w:rsidR="002D1A4E" w:rsidRDefault="002D1A4E" w:rsidP="0077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36969"/>
      <w:docPartObj>
        <w:docPartGallery w:val="Page Numbers (Bottom of Page)"/>
        <w:docPartUnique/>
      </w:docPartObj>
    </w:sdtPr>
    <w:sdtEndPr>
      <w:rPr>
        <w:noProof/>
      </w:rPr>
    </w:sdtEndPr>
    <w:sdtContent>
      <w:p w14:paraId="79E62F03" w14:textId="59439E44" w:rsidR="00BE18E4" w:rsidRDefault="002644A5" w:rsidP="005D1FBB">
        <w:pPr>
          <w:pStyle w:val="Footer"/>
          <w:jc w:val="right"/>
        </w:pPr>
        <w:r>
          <w:fldChar w:fldCharType="begin"/>
        </w:r>
        <w:r>
          <w:instrText xml:space="preserve"> PAGE   \* MERGEFORMAT </w:instrText>
        </w:r>
        <w:r>
          <w:fldChar w:fldCharType="separate"/>
        </w:r>
        <w:r w:rsidR="00BB170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B92C" w14:textId="77777777" w:rsidR="002D1A4E" w:rsidRDefault="002D1A4E" w:rsidP="00770902">
      <w:pPr>
        <w:spacing w:after="0" w:line="240" w:lineRule="auto"/>
      </w:pPr>
      <w:r>
        <w:separator/>
      </w:r>
    </w:p>
  </w:footnote>
  <w:footnote w:type="continuationSeparator" w:id="0">
    <w:p w14:paraId="623BA58C" w14:textId="77777777" w:rsidR="002D1A4E" w:rsidRDefault="002D1A4E" w:rsidP="0077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02EB" w14:textId="68DA27DD" w:rsidR="00BE18E4" w:rsidRDefault="002644A5" w:rsidP="009B7C26">
    <w:pPr>
      <w:pStyle w:val="Header"/>
    </w:pPr>
    <w:r>
      <w:rPr>
        <w:noProof/>
        <w:lang w:eastAsia="en-GB"/>
      </w:rPr>
      <w:drawing>
        <wp:anchor distT="0" distB="0" distL="114300" distR="114300" simplePos="0" relativeHeight="251657216" behindDoc="1" locked="0" layoutInCell="1" allowOverlap="1" wp14:anchorId="08BB1078" wp14:editId="0B7390C2">
          <wp:simplePos x="0" y="0"/>
          <wp:positionH relativeFrom="page">
            <wp:posOffset>323850</wp:posOffset>
          </wp:positionH>
          <wp:positionV relativeFrom="paragraph">
            <wp:posOffset>-295910</wp:posOffset>
          </wp:positionV>
          <wp:extent cx="6893560" cy="8797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893560" cy="8797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6C"/>
    <w:multiLevelType w:val="hybridMultilevel"/>
    <w:tmpl w:val="42AE9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B1089"/>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664244"/>
    <w:multiLevelType w:val="hybridMultilevel"/>
    <w:tmpl w:val="859E942A"/>
    <w:lvl w:ilvl="0" w:tplc="8AD47C06">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06D6252"/>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1501E4"/>
    <w:multiLevelType w:val="hybridMultilevel"/>
    <w:tmpl w:val="403E1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F211F"/>
    <w:multiLevelType w:val="hybridMultilevel"/>
    <w:tmpl w:val="A798ECB6"/>
    <w:lvl w:ilvl="0" w:tplc="846CACB6">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92779"/>
    <w:multiLevelType w:val="hybridMultilevel"/>
    <w:tmpl w:val="DF9E5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45F34"/>
    <w:multiLevelType w:val="hybridMultilevel"/>
    <w:tmpl w:val="308CB476"/>
    <w:lvl w:ilvl="0" w:tplc="C44E87E0">
      <w:start w:val="2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30114A"/>
    <w:multiLevelType w:val="hybridMultilevel"/>
    <w:tmpl w:val="490A9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36BBA"/>
    <w:multiLevelType w:val="hybridMultilevel"/>
    <w:tmpl w:val="3064D678"/>
    <w:lvl w:ilvl="0" w:tplc="2466C1EE">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4162E"/>
    <w:multiLevelType w:val="hybridMultilevel"/>
    <w:tmpl w:val="F32437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63D0C"/>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0FE1113"/>
    <w:multiLevelType w:val="hybridMultilevel"/>
    <w:tmpl w:val="C47EAF48"/>
    <w:lvl w:ilvl="0" w:tplc="D5E65F26">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07C60"/>
    <w:multiLevelType w:val="multilevel"/>
    <w:tmpl w:val="6B2258DE"/>
    <w:lvl w:ilvl="0">
      <w:start w:val="1"/>
      <w:numFmt w:val="bullet"/>
      <w:lvlText w:val=""/>
      <w:lvlJc w:val="left"/>
      <w:pPr>
        <w:tabs>
          <w:tab w:val="num" w:pos="396"/>
        </w:tabs>
        <w:ind w:left="396" w:hanging="360"/>
      </w:pPr>
      <w:rPr>
        <w:rFonts w:ascii="Symbol" w:hAnsi="Symbol" w:hint="default"/>
        <w:sz w:val="20"/>
      </w:rPr>
    </w:lvl>
    <w:lvl w:ilvl="1">
      <w:start w:val="1"/>
      <w:numFmt w:val="bullet"/>
      <w:lvlText w:val="o"/>
      <w:lvlJc w:val="left"/>
      <w:pPr>
        <w:tabs>
          <w:tab w:val="num" w:pos="1116"/>
        </w:tabs>
        <w:ind w:left="1116" w:hanging="360"/>
      </w:pPr>
      <w:rPr>
        <w:rFonts w:ascii="Courier New" w:hAnsi="Courier New" w:cs="Times New Roman" w:hint="default"/>
        <w:sz w:val="20"/>
      </w:rPr>
    </w:lvl>
    <w:lvl w:ilvl="2">
      <w:start w:val="1"/>
      <w:numFmt w:val="bullet"/>
      <w:lvlText w:val=""/>
      <w:lvlJc w:val="left"/>
      <w:pPr>
        <w:tabs>
          <w:tab w:val="num" w:pos="1836"/>
        </w:tabs>
        <w:ind w:left="1836" w:hanging="360"/>
      </w:pPr>
      <w:rPr>
        <w:rFonts w:ascii="Wingdings" w:hAnsi="Wingdings" w:hint="default"/>
        <w:sz w:val="20"/>
      </w:rPr>
    </w:lvl>
    <w:lvl w:ilvl="3">
      <w:start w:val="1"/>
      <w:numFmt w:val="bullet"/>
      <w:lvlText w:val=""/>
      <w:lvlJc w:val="left"/>
      <w:pPr>
        <w:tabs>
          <w:tab w:val="num" w:pos="2556"/>
        </w:tabs>
        <w:ind w:left="2556" w:hanging="360"/>
      </w:pPr>
      <w:rPr>
        <w:rFonts w:ascii="Wingdings" w:hAnsi="Wingdings" w:hint="default"/>
        <w:sz w:val="20"/>
      </w:rPr>
    </w:lvl>
    <w:lvl w:ilvl="4">
      <w:start w:val="1"/>
      <w:numFmt w:val="bullet"/>
      <w:lvlText w:val=""/>
      <w:lvlJc w:val="left"/>
      <w:pPr>
        <w:tabs>
          <w:tab w:val="num" w:pos="3276"/>
        </w:tabs>
        <w:ind w:left="3276" w:hanging="360"/>
      </w:pPr>
      <w:rPr>
        <w:rFonts w:ascii="Wingdings" w:hAnsi="Wingdings" w:hint="default"/>
        <w:sz w:val="20"/>
      </w:rPr>
    </w:lvl>
    <w:lvl w:ilvl="5">
      <w:start w:val="1"/>
      <w:numFmt w:val="bullet"/>
      <w:lvlText w:val=""/>
      <w:lvlJc w:val="left"/>
      <w:pPr>
        <w:tabs>
          <w:tab w:val="num" w:pos="3996"/>
        </w:tabs>
        <w:ind w:left="3996" w:hanging="360"/>
      </w:pPr>
      <w:rPr>
        <w:rFonts w:ascii="Wingdings" w:hAnsi="Wingdings" w:hint="default"/>
        <w:sz w:val="20"/>
      </w:rPr>
    </w:lvl>
    <w:lvl w:ilvl="6">
      <w:start w:val="1"/>
      <w:numFmt w:val="bullet"/>
      <w:lvlText w:val=""/>
      <w:lvlJc w:val="left"/>
      <w:pPr>
        <w:tabs>
          <w:tab w:val="num" w:pos="4716"/>
        </w:tabs>
        <w:ind w:left="4716" w:hanging="360"/>
      </w:pPr>
      <w:rPr>
        <w:rFonts w:ascii="Wingdings" w:hAnsi="Wingdings" w:hint="default"/>
        <w:sz w:val="20"/>
      </w:rPr>
    </w:lvl>
    <w:lvl w:ilvl="7">
      <w:start w:val="1"/>
      <w:numFmt w:val="bullet"/>
      <w:lvlText w:val=""/>
      <w:lvlJc w:val="left"/>
      <w:pPr>
        <w:tabs>
          <w:tab w:val="num" w:pos="5436"/>
        </w:tabs>
        <w:ind w:left="5436" w:hanging="360"/>
      </w:pPr>
      <w:rPr>
        <w:rFonts w:ascii="Wingdings" w:hAnsi="Wingdings" w:hint="default"/>
        <w:sz w:val="20"/>
      </w:rPr>
    </w:lvl>
    <w:lvl w:ilvl="8">
      <w:start w:val="1"/>
      <w:numFmt w:val="bullet"/>
      <w:lvlText w:val=""/>
      <w:lvlJc w:val="left"/>
      <w:pPr>
        <w:tabs>
          <w:tab w:val="num" w:pos="6156"/>
        </w:tabs>
        <w:ind w:left="6156" w:hanging="360"/>
      </w:pPr>
      <w:rPr>
        <w:rFonts w:ascii="Wingdings" w:hAnsi="Wingdings" w:hint="default"/>
        <w:sz w:val="20"/>
      </w:rPr>
    </w:lvl>
  </w:abstractNum>
  <w:abstractNum w:abstractNumId="14" w15:restartNumberingAfterBreak="0">
    <w:nsid w:val="51DF2A80"/>
    <w:multiLevelType w:val="hybridMultilevel"/>
    <w:tmpl w:val="B5D076D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6897B5A"/>
    <w:multiLevelType w:val="hybridMultilevel"/>
    <w:tmpl w:val="DA06A264"/>
    <w:lvl w:ilvl="0" w:tplc="214255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24B1F04"/>
    <w:multiLevelType w:val="multilevel"/>
    <w:tmpl w:val="4924648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7" w15:restartNumberingAfterBreak="0">
    <w:nsid w:val="7390330D"/>
    <w:multiLevelType w:val="hybridMultilevel"/>
    <w:tmpl w:val="74A2CAC6"/>
    <w:lvl w:ilvl="0" w:tplc="B6BE2B2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003B1"/>
    <w:multiLevelType w:val="hybridMultilevel"/>
    <w:tmpl w:val="EE502544"/>
    <w:lvl w:ilvl="0" w:tplc="131EC2AC">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7E3221C8"/>
    <w:multiLevelType w:val="hybridMultilevel"/>
    <w:tmpl w:val="BA5CF9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6548284">
    <w:abstractNumId w:val="1"/>
  </w:num>
  <w:num w:numId="2" w16cid:durableId="1779643453">
    <w:abstractNumId w:val="14"/>
  </w:num>
  <w:num w:numId="3" w16cid:durableId="1361973674">
    <w:abstractNumId w:val="9"/>
  </w:num>
  <w:num w:numId="4" w16cid:durableId="1870683968">
    <w:abstractNumId w:val="5"/>
  </w:num>
  <w:num w:numId="5" w16cid:durableId="1394963003">
    <w:abstractNumId w:val="12"/>
  </w:num>
  <w:num w:numId="6" w16cid:durableId="439109291">
    <w:abstractNumId w:val="13"/>
  </w:num>
  <w:num w:numId="7" w16cid:durableId="654525723">
    <w:abstractNumId w:val="16"/>
  </w:num>
  <w:num w:numId="8" w16cid:durableId="294339371">
    <w:abstractNumId w:val="15"/>
  </w:num>
  <w:num w:numId="9" w16cid:durableId="912201823">
    <w:abstractNumId w:val="18"/>
  </w:num>
  <w:num w:numId="10" w16cid:durableId="1192108071">
    <w:abstractNumId w:val="2"/>
  </w:num>
  <w:num w:numId="11" w16cid:durableId="1300500646">
    <w:abstractNumId w:val="3"/>
  </w:num>
  <w:num w:numId="12" w16cid:durableId="590165594">
    <w:abstractNumId w:val="11"/>
  </w:num>
  <w:num w:numId="13" w16cid:durableId="1637834242">
    <w:abstractNumId w:val="8"/>
  </w:num>
  <w:num w:numId="14" w16cid:durableId="189728788">
    <w:abstractNumId w:val="0"/>
  </w:num>
  <w:num w:numId="15" w16cid:durableId="1162505572">
    <w:abstractNumId w:val="19"/>
  </w:num>
  <w:num w:numId="16" w16cid:durableId="398941994">
    <w:abstractNumId w:val="4"/>
  </w:num>
  <w:num w:numId="17" w16cid:durableId="2053578355">
    <w:abstractNumId w:val="17"/>
  </w:num>
  <w:num w:numId="18" w16cid:durableId="572129570">
    <w:abstractNumId w:val="7"/>
  </w:num>
  <w:num w:numId="19" w16cid:durableId="152571102">
    <w:abstractNumId w:val="10"/>
  </w:num>
  <w:num w:numId="20" w16cid:durableId="113325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02"/>
    <w:rsid w:val="00027EFD"/>
    <w:rsid w:val="00035C50"/>
    <w:rsid w:val="000378FF"/>
    <w:rsid w:val="000415A6"/>
    <w:rsid w:val="00050496"/>
    <w:rsid w:val="000550C7"/>
    <w:rsid w:val="000707BD"/>
    <w:rsid w:val="000A50E2"/>
    <w:rsid w:val="000B12A8"/>
    <w:rsid w:val="000C1403"/>
    <w:rsid w:val="000D741F"/>
    <w:rsid w:val="001445D8"/>
    <w:rsid w:val="00167825"/>
    <w:rsid w:val="00173567"/>
    <w:rsid w:val="001C50FB"/>
    <w:rsid w:val="001E3E24"/>
    <w:rsid w:val="00202C84"/>
    <w:rsid w:val="00214EB4"/>
    <w:rsid w:val="00217AF5"/>
    <w:rsid w:val="00223545"/>
    <w:rsid w:val="00243AA1"/>
    <w:rsid w:val="002644A5"/>
    <w:rsid w:val="00264748"/>
    <w:rsid w:val="002C7E1B"/>
    <w:rsid w:val="002D0D09"/>
    <w:rsid w:val="002D1A4E"/>
    <w:rsid w:val="002E601B"/>
    <w:rsid w:val="00301E9E"/>
    <w:rsid w:val="003027F3"/>
    <w:rsid w:val="003048E0"/>
    <w:rsid w:val="00316350"/>
    <w:rsid w:val="00322FB3"/>
    <w:rsid w:val="00380742"/>
    <w:rsid w:val="0039037B"/>
    <w:rsid w:val="00392B38"/>
    <w:rsid w:val="003D0A92"/>
    <w:rsid w:val="003F3BCE"/>
    <w:rsid w:val="00414C79"/>
    <w:rsid w:val="00415C5B"/>
    <w:rsid w:val="00434C12"/>
    <w:rsid w:val="004611F6"/>
    <w:rsid w:val="0046632F"/>
    <w:rsid w:val="00476ACA"/>
    <w:rsid w:val="004969A0"/>
    <w:rsid w:val="004C6EB3"/>
    <w:rsid w:val="00507534"/>
    <w:rsid w:val="00526D08"/>
    <w:rsid w:val="0053091F"/>
    <w:rsid w:val="00531428"/>
    <w:rsid w:val="00554690"/>
    <w:rsid w:val="005678B2"/>
    <w:rsid w:val="005A6065"/>
    <w:rsid w:val="005B506B"/>
    <w:rsid w:val="005B6C18"/>
    <w:rsid w:val="005D1DC7"/>
    <w:rsid w:val="005D3863"/>
    <w:rsid w:val="005E3CDC"/>
    <w:rsid w:val="005F3158"/>
    <w:rsid w:val="0061687F"/>
    <w:rsid w:val="00625429"/>
    <w:rsid w:val="00651BBE"/>
    <w:rsid w:val="00652421"/>
    <w:rsid w:val="00687CDF"/>
    <w:rsid w:val="006967AF"/>
    <w:rsid w:val="006A2D4A"/>
    <w:rsid w:val="006A4C99"/>
    <w:rsid w:val="006B79D9"/>
    <w:rsid w:val="006C05D9"/>
    <w:rsid w:val="006D776C"/>
    <w:rsid w:val="006F0FF5"/>
    <w:rsid w:val="00705CA3"/>
    <w:rsid w:val="0071600B"/>
    <w:rsid w:val="00716D3E"/>
    <w:rsid w:val="0072313E"/>
    <w:rsid w:val="00735A34"/>
    <w:rsid w:val="00770902"/>
    <w:rsid w:val="007877A9"/>
    <w:rsid w:val="007A6476"/>
    <w:rsid w:val="007A739F"/>
    <w:rsid w:val="00823338"/>
    <w:rsid w:val="00837CDC"/>
    <w:rsid w:val="00850F4E"/>
    <w:rsid w:val="008563A3"/>
    <w:rsid w:val="0086467C"/>
    <w:rsid w:val="008E635A"/>
    <w:rsid w:val="00971A41"/>
    <w:rsid w:val="00983D5F"/>
    <w:rsid w:val="00995961"/>
    <w:rsid w:val="009A2982"/>
    <w:rsid w:val="009B0C95"/>
    <w:rsid w:val="009D41F2"/>
    <w:rsid w:val="00A100AC"/>
    <w:rsid w:val="00A17EA7"/>
    <w:rsid w:val="00A249E8"/>
    <w:rsid w:val="00A32E5F"/>
    <w:rsid w:val="00A363E0"/>
    <w:rsid w:val="00A50A15"/>
    <w:rsid w:val="00A60A58"/>
    <w:rsid w:val="00A65D6B"/>
    <w:rsid w:val="00A9552B"/>
    <w:rsid w:val="00AA1050"/>
    <w:rsid w:val="00AA4A91"/>
    <w:rsid w:val="00AA78E3"/>
    <w:rsid w:val="00AB1EF1"/>
    <w:rsid w:val="00AB67FA"/>
    <w:rsid w:val="00AB71F5"/>
    <w:rsid w:val="00AC29BD"/>
    <w:rsid w:val="00B054D7"/>
    <w:rsid w:val="00B71D47"/>
    <w:rsid w:val="00BB170E"/>
    <w:rsid w:val="00BB3643"/>
    <w:rsid w:val="00BB382E"/>
    <w:rsid w:val="00BB6400"/>
    <w:rsid w:val="00BB7F22"/>
    <w:rsid w:val="00BC2114"/>
    <w:rsid w:val="00BE18E4"/>
    <w:rsid w:val="00BF1D17"/>
    <w:rsid w:val="00C02313"/>
    <w:rsid w:val="00C514D5"/>
    <w:rsid w:val="00C571D3"/>
    <w:rsid w:val="00C85FA5"/>
    <w:rsid w:val="00CC7B00"/>
    <w:rsid w:val="00CD092C"/>
    <w:rsid w:val="00CF1226"/>
    <w:rsid w:val="00CF4682"/>
    <w:rsid w:val="00D1123E"/>
    <w:rsid w:val="00DA14C3"/>
    <w:rsid w:val="00DB6744"/>
    <w:rsid w:val="00DC73F5"/>
    <w:rsid w:val="00DD0A69"/>
    <w:rsid w:val="00DF4D2C"/>
    <w:rsid w:val="00E06EDE"/>
    <w:rsid w:val="00E109B5"/>
    <w:rsid w:val="00E20E27"/>
    <w:rsid w:val="00E23A28"/>
    <w:rsid w:val="00E371D0"/>
    <w:rsid w:val="00E50AB9"/>
    <w:rsid w:val="00E72E29"/>
    <w:rsid w:val="00E865AE"/>
    <w:rsid w:val="00E86D00"/>
    <w:rsid w:val="00EB5BE5"/>
    <w:rsid w:val="00EB7C01"/>
    <w:rsid w:val="00EE0F88"/>
    <w:rsid w:val="00EF799A"/>
    <w:rsid w:val="00F001D1"/>
    <w:rsid w:val="00F53B4D"/>
    <w:rsid w:val="00F93E9B"/>
    <w:rsid w:val="00F9694B"/>
    <w:rsid w:val="00FB7AB6"/>
    <w:rsid w:val="00FD13C4"/>
    <w:rsid w:val="00FE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E4B6E1"/>
  <w15:docId w15:val="{64F01737-A708-4D58-B39D-DC1901A4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902"/>
    <w:pPr>
      <w:ind w:left="720"/>
      <w:contextualSpacing/>
    </w:pPr>
  </w:style>
  <w:style w:type="paragraph" w:styleId="Header">
    <w:name w:val="header"/>
    <w:basedOn w:val="Normal"/>
    <w:link w:val="HeaderChar"/>
    <w:uiPriority w:val="99"/>
    <w:rsid w:val="00770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02"/>
    <w:rPr>
      <w:rFonts w:ascii="Calibri" w:eastAsia="Calibri" w:hAnsi="Calibri" w:cs="Times New Roman"/>
    </w:rPr>
  </w:style>
  <w:style w:type="paragraph" w:styleId="Footer">
    <w:name w:val="footer"/>
    <w:basedOn w:val="Normal"/>
    <w:link w:val="FooterChar"/>
    <w:uiPriority w:val="99"/>
    <w:rsid w:val="00770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02"/>
    <w:rPr>
      <w:rFonts w:ascii="Calibri" w:eastAsia="Calibri" w:hAnsi="Calibri" w:cs="Times New Roman"/>
    </w:rPr>
  </w:style>
  <w:style w:type="paragraph" w:styleId="Subtitle">
    <w:name w:val="Subtitle"/>
    <w:basedOn w:val="Normal"/>
    <w:next w:val="Normal"/>
    <w:link w:val="SubtitleChar"/>
    <w:qFormat/>
    <w:rsid w:val="0077090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7090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53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91F"/>
    <w:rPr>
      <w:rFonts w:ascii="Tahoma" w:eastAsia="Calibri" w:hAnsi="Tahoma" w:cs="Tahoma"/>
      <w:sz w:val="16"/>
      <w:szCs w:val="16"/>
    </w:rPr>
  </w:style>
  <w:style w:type="character" w:styleId="CommentReference">
    <w:name w:val="annotation reference"/>
    <w:basedOn w:val="DefaultParagraphFont"/>
    <w:uiPriority w:val="99"/>
    <w:semiHidden/>
    <w:unhideWhenUsed/>
    <w:rsid w:val="00716D3E"/>
    <w:rPr>
      <w:sz w:val="18"/>
      <w:szCs w:val="18"/>
    </w:rPr>
  </w:style>
  <w:style w:type="paragraph" w:styleId="CommentText">
    <w:name w:val="annotation text"/>
    <w:basedOn w:val="Normal"/>
    <w:link w:val="CommentTextChar"/>
    <w:uiPriority w:val="99"/>
    <w:semiHidden/>
    <w:unhideWhenUsed/>
    <w:rsid w:val="00716D3E"/>
    <w:pPr>
      <w:spacing w:line="240" w:lineRule="auto"/>
    </w:pPr>
    <w:rPr>
      <w:sz w:val="24"/>
      <w:szCs w:val="24"/>
    </w:rPr>
  </w:style>
  <w:style w:type="character" w:customStyle="1" w:styleId="CommentTextChar">
    <w:name w:val="Comment Text Char"/>
    <w:basedOn w:val="DefaultParagraphFont"/>
    <w:link w:val="CommentText"/>
    <w:uiPriority w:val="99"/>
    <w:semiHidden/>
    <w:rsid w:val="00716D3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16D3E"/>
    <w:rPr>
      <w:b/>
      <w:bCs/>
      <w:sz w:val="20"/>
      <w:szCs w:val="20"/>
    </w:rPr>
  </w:style>
  <w:style w:type="character" w:customStyle="1" w:styleId="CommentSubjectChar">
    <w:name w:val="Comment Subject Char"/>
    <w:basedOn w:val="CommentTextChar"/>
    <w:link w:val="CommentSubject"/>
    <w:uiPriority w:val="99"/>
    <w:semiHidden/>
    <w:rsid w:val="00716D3E"/>
    <w:rPr>
      <w:rFonts w:ascii="Calibri" w:eastAsia="Calibri" w:hAnsi="Calibri" w:cs="Times New Roman"/>
      <w:b/>
      <w:bCs/>
      <w:sz w:val="20"/>
      <w:szCs w:val="20"/>
    </w:rPr>
  </w:style>
  <w:style w:type="character" w:styleId="Hyperlink">
    <w:name w:val="Hyperlink"/>
    <w:basedOn w:val="DefaultParagraphFont"/>
    <w:uiPriority w:val="99"/>
    <w:unhideWhenUsed/>
    <w:rsid w:val="0071600B"/>
    <w:rPr>
      <w:color w:val="0000FF"/>
      <w:u w:val="single"/>
    </w:rPr>
  </w:style>
  <w:style w:type="character" w:styleId="FollowedHyperlink">
    <w:name w:val="FollowedHyperlink"/>
    <w:basedOn w:val="DefaultParagraphFont"/>
    <w:uiPriority w:val="99"/>
    <w:semiHidden/>
    <w:unhideWhenUsed/>
    <w:rsid w:val="006B7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2596">
      <w:bodyDiv w:val="1"/>
      <w:marLeft w:val="0"/>
      <w:marRight w:val="0"/>
      <w:marTop w:val="0"/>
      <w:marBottom w:val="0"/>
      <w:divBdr>
        <w:top w:val="none" w:sz="0" w:space="0" w:color="auto"/>
        <w:left w:val="none" w:sz="0" w:space="0" w:color="auto"/>
        <w:bottom w:val="none" w:sz="0" w:space="0" w:color="auto"/>
        <w:right w:val="none" w:sz="0" w:space="0" w:color="auto"/>
      </w:divBdr>
    </w:div>
    <w:div w:id="1242565887">
      <w:bodyDiv w:val="1"/>
      <w:marLeft w:val="0"/>
      <w:marRight w:val="0"/>
      <w:marTop w:val="0"/>
      <w:marBottom w:val="0"/>
      <w:divBdr>
        <w:top w:val="none" w:sz="0" w:space="0" w:color="auto"/>
        <w:left w:val="none" w:sz="0" w:space="0" w:color="auto"/>
        <w:bottom w:val="none" w:sz="0" w:space="0" w:color="auto"/>
        <w:right w:val="none" w:sz="0" w:space="0" w:color="auto"/>
      </w:divBdr>
    </w:div>
    <w:div w:id="1506700336">
      <w:bodyDiv w:val="1"/>
      <w:marLeft w:val="0"/>
      <w:marRight w:val="0"/>
      <w:marTop w:val="0"/>
      <w:marBottom w:val="0"/>
      <w:divBdr>
        <w:top w:val="none" w:sz="0" w:space="0" w:color="auto"/>
        <w:left w:val="none" w:sz="0" w:space="0" w:color="auto"/>
        <w:bottom w:val="none" w:sz="0" w:space="0" w:color="auto"/>
        <w:right w:val="none" w:sz="0" w:space="0" w:color="auto"/>
      </w:divBdr>
    </w:div>
    <w:div w:id="21077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a.ac.uk/privacy-polic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73BE0-9273-4105-A75C-CD355118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Pugliese, Megan</dc:creator>
  <cp:lastModifiedBy>Maimuna May</cp:lastModifiedBy>
  <cp:revision>7</cp:revision>
  <cp:lastPrinted>2019-03-28T16:47:00Z</cp:lastPrinted>
  <dcterms:created xsi:type="dcterms:W3CDTF">2024-03-20T12:18:00Z</dcterms:created>
  <dcterms:modified xsi:type="dcterms:W3CDTF">2026-01-30T15:45:00Z</dcterms:modified>
</cp:coreProperties>
</file>