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7504" w14:textId="2E30949E" w:rsidR="00E9733D" w:rsidRPr="00A01561" w:rsidRDefault="00E9733D" w:rsidP="00A01561">
      <w:pPr>
        <w:spacing w:line="420" w:lineRule="auto"/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</w:pPr>
      <w:r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>BOA</w:t>
      </w:r>
      <w:r w:rsidR="00ED165E"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 xml:space="preserve"> and GIRFT</w:t>
      </w:r>
      <w:r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 xml:space="preserve"> statement on ‘ring fenced’ orthopaedic</w:t>
      </w:r>
      <w:r w:rsidR="00ED165E"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 xml:space="preserve"> bed</w:t>
      </w:r>
      <w:r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>s</w:t>
      </w:r>
      <w:r w:rsidR="00ED165E" w:rsidRPr="00A01561">
        <w:rPr>
          <w:rFonts w:eastAsia="Times New Roman" w:cstheme="minorHAnsi"/>
          <w:b/>
          <w:color w:val="2C363A"/>
          <w:sz w:val="22"/>
          <w:szCs w:val="21"/>
          <w:shd w:val="clear" w:color="auto" w:fill="FFFFFF"/>
          <w:lang w:eastAsia="en-GB"/>
        </w:rPr>
        <w:t xml:space="preserve"> in the COVID-19 context</w:t>
      </w:r>
    </w:p>
    <w:p w14:paraId="23941AD0" w14:textId="77777777" w:rsidR="00E9733D" w:rsidRPr="00A01561" w:rsidRDefault="00E9733D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</w:pPr>
    </w:p>
    <w:p w14:paraId="55982D80" w14:textId="4C1FAEF2" w:rsidR="00E9733D" w:rsidRPr="00A01561" w:rsidRDefault="00EB7063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</w:pPr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It has long been recognised that 'ring fencing' orthopaedic beds for planned care is the only acceptable standard for our patients.</w:t>
      </w:r>
      <w:r w:rsidR="00E9733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The GIRFT report</w:t>
      </w:r>
      <w:r w:rsidR="00E9733D" w:rsidRPr="00A01561">
        <w:rPr>
          <w:rStyle w:val="FootnoteReference"/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footnoteReference w:id="1"/>
      </w:r>
      <w:r w:rsidR="00E9733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published earlier this year discusses surgical site infection and notes that ‘it is likely that the maintenance of ring-fencing has contributed to the decreasing infection rates in the orthopaedics specialty.’ </w:t>
      </w:r>
    </w:p>
    <w:p w14:paraId="0804DCF7" w14:textId="4E380035" w:rsidR="00122320" w:rsidRPr="00A01561" w:rsidRDefault="00122320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</w:pPr>
    </w:p>
    <w:p w14:paraId="2C316600" w14:textId="7BAE6B7F" w:rsidR="00EB7063" w:rsidRPr="00A01561" w:rsidRDefault="00EB7063" w:rsidP="00A01561">
      <w:pPr>
        <w:spacing w:line="420" w:lineRule="auto"/>
        <w:rPr>
          <w:rFonts w:eastAsia="Times New Roman" w:cstheme="minorHAnsi"/>
          <w:sz w:val="28"/>
          <w:lang w:eastAsia="en-GB"/>
        </w:rPr>
      </w:pPr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Sharing ward accommodation with </w:t>
      </w:r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other specialties where patients may have infection</w:t>
      </w:r>
      <w:r w:rsidR="00E9733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s</w:t>
      </w:r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or be carrying potentially infecting </w:t>
      </w:r>
      <w:proofErr w:type="gramStart"/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organisms</w:t>
      </w:r>
      <w:proofErr w:type="gramEnd"/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</w:t>
      </w:r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runs a high risk of transfer between patients </w:t>
      </w:r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and exposing them to the risk of active infection</w:t>
      </w:r>
      <w:r w:rsidR="00E9733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. The consequences of infection for orthopaedic patients</w:t>
      </w:r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</w:t>
      </w:r>
      <w:r w:rsidR="00E9733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are </w:t>
      </w:r>
      <w:r w:rsidR="00246BED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serious.</w:t>
      </w:r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 It is the express recommendation from</w:t>
      </w:r>
      <w:bookmarkStart w:id="0" w:name="_GoBack"/>
      <w:bookmarkEnd w:id="0"/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GIRFT (given the overwhelming evidence to support this separation of patients into specialty cohorts) that we corral and protect </w:t>
      </w:r>
      <w:r w:rsidR="00034343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our </w:t>
      </w:r>
      <w:r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patients</w:t>
      </w:r>
      <w:r w:rsidR="00034343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>.</w:t>
      </w:r>
      <w:r w:rsidR="00122320" w:rsidRPr="00A01561">
        <w:rPr>
          <w:rFonts w:eastAsia="Times New Roman" w:cstheme="minorHAnsi"/>
          <w:color w:val="2C363A"/>
          <w:sz w:val="22"/>
          <w:szCs w:val="21"/>
          <w:shd w:val="clear" w:color="auto" w:fill="FFFFFF"/>
          <w:lang w:eastAsia="en-GB"/>
        </w:rPr>
        <w:t xml:space="preserve"> This particularly applies where any form of implant is to be inserted.  </w:t>
      </w:r>
    </w:p>
    <w:p w14:paraId="7E22DBFF" w14:textId="77777777" w:rsidR="00EB7063" w:rsidRPr="00A01561" w:rsidRDefault="00EB7063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lang w:eastAsia="en-GB"/>
        </w:rPr>
      </w:pPr>
    </w:p>
    <w:p w14:paraId="1A5EC937" w14:textId="355A72BE" w:rsidR="00EB7063" w:rsidRPr="00A01561" w:rsidRDefault="00034343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lang w:eastAsia="en-GB"/>
        </w:rPr>
      </w:pP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We are aware there is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a disturbing trend that the provision of </w:t>
      </w:r>
      <w:r w:rsidR="00ED165E" w:rsidRPr="00A01561">
        <w:rPr>
          <w:rFonts w:eastAsia="Times New Roman" w:cstheme="minorHAnsi"/>
          <w:color w:val="2C363A"/>
          <w:sz w:val="22"/>
          <w:szCs w:val="21"/>
          <w:lang w:eastAsia="en-GB"/>
        </w:rPr>
        <w:t>‘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COVID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>-free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' 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pathways and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areas 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is considered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to supersede </w:t>
      </w:r>
      <w:r w:rsidR="006D3577" w:rsidRPr="00A01561">
        <w:rPr>
          <w:rFonts w:eastAsia="Times New Roman" w:cstheme="minorHAnsi"/>
          <w:color w:val="2C363A"/>
          <w:sz w:val="22"/>
          <w:szCs w:val="21"/>
          <w:lang w:eastAsia="en-GB"/>
        </w:rPr>
        <w:t>ring-fencing of orthopaedics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. The inference is that providing </w:t>
      </w:r>
      <w:r w:rsidR="00ED165E" w:rsidRPr="00A01561">
        <w:rPr>
          <w:rFonts w:eastAsia="Times New Roman" w:cstheme="minorHAnsi"/>
          <w:color w:val="2C363A"/>
          <w:sz w:val="22"/>
          <w:szCs w:val="21"/>
          <w:lang w:eastAsia="en-GB"/>
        </w:rPr>
        <w:t>‘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C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OVID</w:t>
      </w:r>
      <w:r w:rsidR="00ED165E" w:rsidRPr="00A01561">
        <w:rPr>
          <w:rFonts w:eastAsia="Times New Roman" w:cstheme="minorHAnsi"/>
          <w:color w:val="2C363A"/>
          <w:sz w:val="22"/>
          <w:szCs w:val="21"/>
          <w:lang w:eastAsia="en-GB"/>
        </w:rPr>
        <w:t>-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secure</w:t>
      </w:r>
      <w:r w:rsidR="00ED165E" w:rsidRPr="00A01561">
        <w:rPr>
          <w:rFonts w:eastAsia="Times New Roman" w:cstheme="minorHAnsi"/>
          <w:color w:val="2C363A"/>
          <w:sz w:val="22"/>
          <w:szCs w:val="21"/>
          <w:lang w:eastAsia="en-GB"/>
        </w:rPr>
        <w:t>’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ward space for multiple patient groups is of 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>greater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importance than segregation of the </w:t>
      </w:r>
      <w:r w:rsidR="006D3577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orthopaedic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patient groups.  This is categorically NOT the 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position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of the BOA or GIRFT. These are two separate issues that should not be conflated. BOTH are important; keeping our patients as C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>OVID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secure as possible is clearly of paramount importance, but not at the expense of mixing patients 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from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different specialties in the same ward space.</w:t>
      </w:r>
    </w:p>
    <w:p w14:paraId="4159F4F5" w14:textId="77777777" w:rsidR="00EB7063" w:rsidRPr="00A01561" w:rsidRDefault="00EB7063" w:rsidP="00A01561">
      <w:pPr>
        <w:spacing w:line="420" w:lineRule="auto"/>
        <w:rPr>
          <w:rFonts w:eastAsia="Times New Roman" w:cstheme="minorHAnsi"/>
          <w:color w:val="2C363A"/>
          <w:sz w:val="22"/>
          <w:szCs w:val="21"/>
          <w:lang w:eastAsia="en-GB"/>
        </w:rPr>
      </w:pPr>
    </w:p>
    <w:p w14:paraId="45A4BB29" w14:textId="096AA79A" w:rsidR="004E4036" w:rsidRPr="00A01561" w:rsidRDefault="00ED165E" w:rsidP="00A01561">
      <w:pPr>
        <w:spacing w:line="420" w:lineRule="auto"/>
        <w:rPr>
          <w:rFonts w:cstheme="minorHAnsi"/>
          <w:sz w:val="28"/>
        </w:rPr>
      </w:pP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We recognise that providing both ‘COVID-secure’ ward space for elective patients and ring-fencing orthopaedics within this,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will put further strain on our </w:t>
      </w:r>
      <w:r w:rsidR="00A01561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bed resource approaching winter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and a second C</w:t>
      </w:r>
      <w:r w:rsidR="0003434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OVID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wave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>. However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, we need to provide both C</w:t>
      </w:r>
      <w:r w:rsidR="0003434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OVID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free pathways and 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>orthopaedic ‘ring fenced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' </w:t>
      </w:r>
      <w:r w:rsidR="00B32AA4" w:rsidRPr="00A01561">
        <w:rPr>
          <w:rFonts w:eastAsia="Times New Roman" w:cstheme="minorHAnsi"/>
          <w:color w:val="2C363A"/>
          <w:sz w:val="22"/>
          <w:szCs w:val="21"/>
          <w:lang w:eastAsia="en-GB"/>
        </w:rPr>
        <w:t>ward space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in order to promote high standards of 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patient</w:t>
      </w:r>
      <w:r w:rsidRPr="00A01561">
        <w:rPr>
          <w:rFonts w:eastAsia="Times New Roman" w:cstheme="minorHAnsi"/>
          <w:color w:val="2C363A"/>
          <w:sz w:val="22"/>
          <w:szCs w:val="21"/>
          <w:lang w:eastAsia="en-GB"/>
        </w:rPr>
        <w:t xml:space="preserve"> safety</w:t>
      </w:r>
      <w:r w:rsidR="00EB7063" w:rsidRPr="00A01561">
        <w:rPr>
          <w:rFonts w:eastAsia="Times New Roman" w:cstheme="minorHAnsi"/>
          <w:color w:val="2C363A"/>
          <w:sz w:val="22"/>
          <w:szCs w:val="21"/>
          <w:lang w:eastAsia="en-GB"/>
        </w:rPr>
        <w:t>.</w:t>
      </w:r>
    </w:p>
    <w:sectPr w:rsidR="004E4036" w:rsidRPr="00A01561" w:rsidSect="00A01561">
      <w:headerReference w:type="default" r:id="rId6"/>
      <w:pgSz w:w="11900" w:h="16840"/>
      <w:pgMar w:top="170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DD245" w14:textId="77777777" w:rsidR="00135D4A" w:rsidRDefault="00135D4A" w:rsidP="00E9733D">
      <w:r>
        <w:separator/>
      </w:r>
    </w:p>
  </w:endnote>
  <w:endnote w:type="continuationSeparator" w:id="0">
    <w:p w14:paraId="4956813F" w14:textId="77777777" w:rsidR="00135D4A" w:rsidRDefault="00135D4A" w:rsidP="00E9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89426" w14:textId="77777777" w:rsidR="00135D4A" w:rsidRDefault="00135D4A" w:rsidP="00E9733D">
      <w:r>
        <w:separator/>
      </w:r>
    </w:p>
  </w:footnote>
  <w:footnote w:type="continuationSeparator" w:id="0">
    <w:p w14:paraId="7BD3D2C9" w14:textId="77777777" w:rsidR="00135D4A" w:rsidRDefault="00135D4A" w:rsidP="00E9733D">
      <w:r>
        <w:continuationSeparator/>
      </w:r>
    </w:p>
  </w:footnote>
  <w:footnote w:id="1">
    <w:p w14:paraId="273DE655" w14:textId="3E11E355" w:rsidR="00E9733D" w:rsidRDefault="00E9733D">
      <w:pPr>
        <w:pStyle w:val="FootnoteText"/>
      </w:pPr>
      <w:r>
        <w:rPr>
          <w:rStyle w:val="FootnoteReference"/>
        </w:rPr>
        <w:footnoteRef/>
      </w:r>
      <w:r>
        <w:t xml:space="preserve"> GIRFT (2020) Getting it right in Orthopaedics: </w:t>
      </w:r>
      <w:r w:rsidRPr="00E9733D">
        <w:t>A follow-up on the GIRFT national specialty report on orthopaedics</w:t>
      </w:r>
      <w:r>
        <w:t xml:space="preserve">, available online at: </w:t>
      </w:r>
      <w:hyperlink r:id="rId1" w:history="1">
        <w:r w:rsidRPr="007C53EF">
          <w:rPr>
            <w:rStyle w:val="Hyperlink"/>
          </w:rPr>
          <w:t>https://gettingitrightfirsttime.co.uk/wp-content/uploads/2020/02/GIRFT-orthopaedics-follow-up-report-February-2020.pdf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71BA2" w14:textId="0D584D07" w:rsidR="0061311D" w:rsidRDefault="00613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F945710" wp14:editId="5C6C5A0D">
          <wp:simplePos x="0" y="0"/>
          <wp:positionH relativeFrom="margin">
            <wp:align>right</wp:align>
          </wp:positionH>
          <wp:positionV relativeFrom="paragraph">
            <wp:posOffset>-571500</wp:posOffset>
          </wp:positionV>
          <wp:extent cx="1819275" cy="1078865"/>
          <wp:effectExtent l="0" t="0" r="0" b="6985"/>
          <wp:wrapNone/>
          <wp:docPr id="2" name="Picture 2" descr="C:\Users\Edward Nickell\AppData\Local\Microsoft\Windows\INetCache\Content.Word\B_top banner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dward Nickell\AppData\Local\Microsoft\Windows\INetCache\Content.Word\B_top banner 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" t="-1" r="73174" b="1"/>
                  <a:stretch/>
                </pic:blipFill>
                <pic:spPr bwMode="auto">
                  <a:xfrm>
                    <a:off x="0" y="0"/>
                    <a:ext cx="1819301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886BC2" wp14:editId="0F8FAC49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703876" cy="790575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A-letterhea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" r="72082"/>
                  <a:stretch/>
                </pic:blipFill>
                <pic:spPr bwMode="auto">
                  <a:xfrm>
                    <a:off x="0" y="0"/>
                    <a:ext cx="1703876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63"/>
    <w:rsid w:val="00034343"/>
    <w:rsid w:val="00122320"/>
    <w:rsid w:val="00135D4A"/>
    <w:rsid w:val="00246BED"/>
    <w:rsid w:val="0046659A"/>
    <w:rsid w:val="005942C3"/>
    <w:rsid w:val="0061311D"/>
    <w:rsid w:val="006244F1"/>
    <w:rsid w:val="006D3577"/>
    <w:rsid w:val="007D2423"/>
    <w:rsid w:val="008B32CE"/>
    <w:rsid w:val="00A01561"/>
    <w:rsid w:val="00B32AA4"/>
    <w:rsid w:val="00BB2EDA"/>
    <w:rsid w:val="00D36044"/>
    <w:rsid w:val="00E9733D"/>
    <w:rsid w:val="00EB7063"/>
    <w:rsid w:val="00E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D1B1C"/>
  <w14:defaultImageDpi w14:val="32767"/>
  <w15:chartTrackingRefBased/>
  <w15:docId w15:val="{4DE6FDA4-D0C3-4A4D-A441-CE9EF1D9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7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3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3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3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3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733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73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1D"/>
  </w:style>
  <w:style w:type="paragraph" w:styleId="Footer">
    <w:name w:val="footer"/>
    <w:basedOn w:val="Normal"/>
    <w:link w:val="FooterChar"/>
    <w:uiPriority w:val="99"/>
    <w:unhideWhenUsed/>
    <w:rsid w:val="00613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ttingitrightfirsttime.co.uk/wp-content/uploads/2020/02/GIRFT-orthopaedics-follow-up-report-February-202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Turner</dc:creator>
  <cp:keywords/>
  <dc:description/>
  <cp:lastModifiedBy>Harriet Wollaston</cp:lastModifiedBy>
  <cp:revision>2</cp:revision>
  <dcterms:created xsi:type="dcterms:W3CDTF">2020-10-19T08:15:00Z</dcterms:created>
  <dcterms:modified xsi:type="dcterms:W3CDTF">2020-10-19T08:15:00Z</dcterms:modified>
</cp:coreProperties>
</file>